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1" w:rsidRDefault="00F63331" w:rsidP="00F647B4">
      <w:pPr>
        <w:rPr>
          <w:rFonts w:ascii="Arial" w:hAnsi="Arial" w:cs="Arial"/>
          <w:b/>
        </w:rPr>
      </w:pPr>
      <w:r w:rsidRPr="00F647B4">
        <w:rPr>
          <w:rFonts w:ascii="Arial" w:hAnsi="Arial" w:cs="Arial"/>
          <w:b/>
        </w:rPr>
        <w:t>HEPATITIS C VIRUS (HCV) PREVALENCE AMONG PEOPLE WHO INJECT DRUGS (PWIDS) IN SWITZERLAND</w:t>
      </w:r>
    </w:p>
    <w:p w:rsidR="00F647B4" w:rsidRPr="00F647B4" w:rsidRDefault="00F647B4" w:rsidP="00F647B4">
      <w:pPr>
        <w:rPr>
          <w:rFonts w:ascii="Arial" w:hAnsi="Arial" w:cs="Arial"/>
        </w:rPr>
      </w:pPr>
    </w:p>
    <w:p w:rsidR="00F54C48" w:rsidRPr="00F647B4" w:rsidRDefault="00F54C48" w:rsidP="00F647B4">
      <w:pPr>
        <w:rPr>
          <w:rFonts w:ascii="Arial" w:hAnsi="Arial" w:cs="Arial"/>
          <w:vertAlign w:val="superscript"/>
          <w:lang w:val="en-GB"/>
        </w:rPr>
      </w:pPr>
      <w:proofErr w:type="spellStart"/>
      <w:r w:rsidRPr="00F647B4">
        <w:rPr>
          <w:rFonts w:ascii="Arial" w:hAnsi="Arial" w:cs="Arial"/>
          <w:lang w:val="en-GB"/>
        </w:rPr>
        <w:t>Bruggmann</w:t>
      </w:r>
      <w:proofErr w:type="spellEnd"/>
      <w:r w:rsidRPr="00F647B4">
        <w:rPr>
          <w:rFonts w:ascii="Arial" w:hAnsi="Arial" w:cs="Arial"/>
          <w:lang w:val="en-GB"/>
        </w:rPr>
        <w:t xml:space="preserve"> P</w:t>
      </w:r>
      <w:r w:rsidRPr="00F647B4">
        <w:rPr>
          <w:rFonts w:ascii="Arial" w:hAnsi="Arial" w:cs="Arial"/>
          <w:vertAlign w:val="superscript"/>
          <w:lang w:val="en-GB"/>
        </w:rPr>
        <w:t>1</w:t>
      </w:r>
      <w:r w:rsidRPr="00F647B4">
        <w:rPr>
          <w:rFonts w:ascii="Arial" w:hAnsi="Arial" w:cs="Arial"/>
          <w:lang w:val="en-GB"/>
        </w:rPr>
        <w:t xml:space="preserve">; </w:t>
      </w:r>
      <w:proofErr w:type="spellStart"/>
      <w:r w:rsidRPr="00F647B4">
        <w:rPr>
          <w:rFonts w:ascii="Arial" w:hAnsi="Arial" w:cs="Arial"/>
          <w:lang w:val="en-GB"/>
        </w:rPr>
        <w:t>Blach</w:t>
      </w:r>
      <w:proofErr w:type="spellEnd"/>
      <w:r w:rsidRPr="00F647B4">
        <w:rPr>
          <w:rFonts w:ascii="Arial" w:hAnsi="Arial" w:cs="Arial"/>
          <w:lang w:val="en-GB"/>
        </w:rPr>
        <w:t xml:space="preserve"> S</w:t>
      </w:r>
      <w:r w:rsidRPr="00F647B4">
        <w:rPr>
          <w:rFonts w:ascii="Arial" w:hAnsi="Arial" w:cs="Arial"/>
          <w:vertAlign w:val="superscript"/>
          <w:lang w:val="en-GB"/>
        </w:rPr>
        <w:t>2</w:t>
      </w:r>
      <w:r w:rsidRPr="00F647B4">
        <w:rPr>
          <w:rFonts w:ascii="Arial" w:hAnsi="Arial" w:cs="Arial"/>
          <w:lang w:val="en-GB"/>
        </w:rPr>
        <w:t xml:space="preserve">; </w:t>
      </w:r>
      <w:proofErr w:type="spellStart"/>
      <w:r w:rsidRPr="00F647B4">
        <w:rPr>
          <w:rFonts w:ascii="Arial" w:hAnsi="Arial" w:cs="Arial"/>
          <w:lang w:val="en-GB"/>
        </w:rPr>
        <w:t>Deltenre</w:t>
      </w:r>
      <w:proofErr w:type="spellEnd"/>
      <w:r w:rsidRPr="00F647B4">
        <w:rPr>
          <w:rFonts w:ascii="Arial" w:hAnsi="Arial" w:cs="Arial"/>
          <w:lang w:val="en-GB"/>
        </w:rPr>
        <w:t xml:space="preserve"> P</w:t>
      </w:r>
      <w:r w:rsidRPr="00F647B4">
        <w:rPr>
          <w:rFonts w:ascii="Arial" w:hAnsi="Arial" w:cs="Arial"/>
          <w:vertAlign w:val="superscript"/>
          <w:lang w:val="en-GB"/>
        </w:rPr>
        <w:t>3</w:t>
      </w:r>
      <w:r w:rsidRPr="00F647B4">
        <w:rPr>
          <w:rFonts w:ascii="Arial" w:hAnsi="Arial" w:cs="Arial"/>
          <w:lang w:val="en-GB"/>
        </w:rPr>
        <w:t>; Fehr J</w:t>
      </w:r>
      <w:r w:rsidRPr="00F647B4">
        <w:rPr>
          <w:rFonts w:ascii="Arial" w:hAnsi="Arial" w:cs="Arial"/>
          <w:vertAlign w:val="superscript"/>
          <w:lang w:val="en-GB"/>
        </w:rPr>
        <w:t>4</w:t>
      </w:r>
      <w:r w:rsidRPr="00F647B4">
        <w:rPr>
          <w:rFonts w:ascii="Arial" w:hAnsi="Arial" w:cs="Arial"/>
          <w:lang w:val="en-GB"/>
        </w:rPr>
        <w:t>; Kouyos R</w:t>
      </w:r>
      <w:r w:rsidRPr="00F647B4">
        <w:rPr>
          <w:rFonts w:ascii="Arial" w:hAnsi="Arial" w:cs="Arial"/>
          <w:vertAlign w:val="superscript"/>
          <w:lang w:val="en-GB"/>
        </w:rPr>
        <w:t>4</w:t>
      </w:r>
      <w:r w:rsidRPr="00F647B4">
        <w:rPr>
          <w:rFonts w:ascii="Arial" w:hAnsi="Arial" w:cs="Arial"/>
          <w:lang w:val="en-GB"/>
        </w:rPr>
        <w:t>; Lavanchy D</w:t>
      </w:r>
      <w:r w:rsidRPr="00F647B4">
        <w:rPr>
          <w:rFonts w:ascii="Arial" w:hAnsi="Arial" w:cs="Arial"/>
          <w:vertAlign w:val="superscript"/>
          <w:lang w:val="en-GB"/>
        </w:rPr>
        <w:t>5</w:t>
      </w:r>
      <w:r w:rsidRPr="00F647B4">
        <w:rPr>
          <w:rFonts w:ascii="Arial" w:hAnsi="Arial" w:cs="Arial"/>
          <w:lang w:val="en-GB"/>
        </w:rPr>
        <w:t>; Müllhaupt B</w:t>
      </w:r>
      <w:r w:rsidRPr="00F647B4">
        <w:rPr>
          <w:rFonts w:ascii="Arial" w:hAnsi="Arial" w:cs="Arial"/>
          <w:vertAlign w:val="superscript"/>
          <w:lang w:val="en-GB"/>
        </w:rPr>
        <w:t>6</w:t>
      </w:r>
      <w:r w:rsidRPr="00F647B4">
        <w:rPr>
          <w:rFonts w:ascii="Arial" w:hAnsi="Arial" w:cs="Arial"/>
          <w:lang w:val="en-GB"/>
        </w:rPr>
        <w:t>; Rauch A</w:t>
      </w:r>
      <w:r w:rsidRPr="00F647B4">
        <w:rPr>
          <w:rFonts w:ascii="Arial" w:hAnsi="Arial" w:cs="Arial"/>
          <w:vertAlign w:val="superscript"/>
          <w:lang w:val="en-GB"/>
        </w:rPr>
        <w:t>7</w:t>
      </w:r>
      <w:r w:rsidRPr="00F647B4">
        <w:rPr>
          <w:rFonts w:ascii="Arial" w:hAnsi="Arial" w:cs="Arial"/>
          <w:lang w:val="en-GB"/>
        </w:rPr>
        <w:t>; Razavi H</w:t>
      </w:r>
      <w:r w:rsidRPr="00F647B4">
        <w:rPr>
          <w:rFonts w:ascii="Arial" w:hAnsi="Arial" w:cs="Arial"/>
          <w:vertAlign w:val="superscript"/>
          <w:lang w:val="en-GB"/>
        </w:rPr>
        <w:t>2</w:t>
      </w:r>
      <w:r w:rsidRPr="00F647B4">
        <w:rPr>
          <w:rFonts w:ascii="Arial" w:hAnsi="Arial" w:cs="Arial"/>
          <w:lang w:val="en-GB"/>
        </w:rPr>
        <w:t>;Schmid P</w:t>
      </w:r>
      <w:r w:rsidRPr="00F647B4">
        <w:rPr>
          <w:rFonts w:ascii="Arial" w:hAnsi="Arial" w:cs="Arial"/>
          <w:vertAlign w:val="superscript"/>
          <w:lang w:val="en-GB"/>
        </w:rPr>
        <w:t>8</w:t>
      </w:r>
      <w:r w:rsidRPr="00F647B4">
        <w:rPr>
          <w:rFonts w:ascii="Arial" w:hAnsi="Arial" w:cs="Arial"/>
          <w:lang w:val="en-GB"/>
        </w:rPr>
        <w:t xml:space="preserve">; </w:t>
      </w:r>
      <w:proofErr w:type="spellStart"/>
      <w:r w:rsidRPr="00F647B4">
        <w:rPr>
          <w:rFonts w:ascii="Arial" w:hAnsi="Arial" w:cs="Arial"/>
          <w:lang w:val="en-GB"/>
        </w:rPr>
        <w:t>Semela</w:t>
      </w:r>
      <w:proofErr w:type="spellEnd"/>
      <w:r w:rsidRPr="00F647B4">
        <w:rPr>
          <w:rFonts w:ascii="Arial" w:hAnsi="Arial" w:cs="Arial"/>
          <w:lang w:val="en-GB"/>
        </w:rPr>
        <w:t xml:space="preserve"> D</w:t>
      </w:r>
      <w:r w:rsidRPr="00F647B4">
        <w:rPr>
          <w:rFonts w:ascii="Arial" w:hAnsi="Arial" w:cs="Arial"/>
          <w:vertAlign w:val="superscript"/>
          <w:lang w:val="en-GB"/>
        </w:rPr>
        <w:t>9</w:t>
      </w:r>
      <w:r w:rsidRPr="00F647B4">
        <w:rPr>
          <w:rFonts w:ascii="Arial" w:hAnsi="Arial" w:cs="Arial"/>
          <w:lang w:val="en-GB"/>
        </w:rPr>
        <w:t xml:space="preserve">; </w:t>
      </w:r>
      <w:proofErr w:type="spellStart"/>
      <w:r w:rsidRPr="00F647B4">
        <w:rPr>
          <w:rFonts w:ascii="Arial" w:hAnsi="Arial" w:cs="Arial"/>
          <w:lang w:val="en-GB"/>
        </w:rPr>
        <w:t>Stöckle</w:t>
      </w:r>
      <w:proofErr w:type="spellEnd"/>
      <w:r w:rsidRPr="00F647B4">
        <w:rPr>
          <w:rFonts w:ascii="Arial" w:hAnsi="Arial" w:cs="Arial"/>
          <w:lang w:val="en-GB"/>
        </w:rPr>
        <w:t xml:space="preserve"> M</w:t>
      </w:r>
      <w:r w:rsidRPr="00F647B4">
        <w:rPr>
          <w:rFonts w:ascii="Arial" w:hAnsi="Arial" w:cs="Arial"/>
          <w:vertAlign w:val="superscript"/>
          <w:lang w:val="en-GB"/>
        </w:rPr>
        <w:t>10</w:t>
      </w:r>
      <w:r w:rsidRPr="00F647B4">
        <w:rPr>
          <w:rFonts w:ascii="Arial" w:hAnsi="Arial" w:cs="Arial"/>
          <w:lang w:val="en-GB"/>
        </w:rPr>
        <w:t>; Negro F</w:t>
      </w:r>
      <w:r w:rsidRPr="00F647B4">
        <w:rPr>
          <w:rFonts w:ascii="Arial" w:hAnsi="Arial" w:cs="Arial"/>
          <w:vertAlign w:val="superscript"/>
          <w:lang w:val="en-GB"/>
        </w:rPr>
        <w:t>11</w:t>
      </w:r>
    </w:p>
    <w:p w:rsidR="00F54C48" w:rsidRPr="00F647B4" w:rsidRDefault="00F54C48" w:rsidP="00F647B4">
      <w:pPr>
        <w:rPr>
          <w:rFonts w:ascii="Arial" w:hAnsi="Arial" w:cs="Arial"/>
          <w:lang w:val="en-GB"/>
        </w:rPr>
      </w:pPr>
    </w:p>
    <w:p w:rsidR="00F54C48" w:rsidRPr="00F647B4" w:rsidRDefault="00F54C48" w:rsidP="00F647B4">
      <w:pPr>
        <w:rPr>
          <w:rFonts w:ascii="Arial" w:hAnsi="Arial" w:cs="Arial"/>
        </w:rPr>
      </w:pPr>
      <w:r w:rsidRPr="00F647B4">
        <w:rPr>
          <w:rFonts w:ascii="Arial" w:hAnsi="Arial" w:cs="Arial"/>
          <w:vertAlign w:val="superscript"/>
        </w:rPr>
        <w:t>1</w:t>
      </w:r>
      <w:r w:rsidRPr="00F647B4">
        <w:rPr>
          <w:rFonts w:ascii="Arial" w:hAnsi="Arial" w:cs="Arial"/>
        </w:rPr>
        <w:t xml:space="preserve"> </w:t>
      </w:r>
      <w:proofErr w:type="spellStart"/>
      <w:r w:rsidRPr="00F647B4">
        <w:rPr>
          <w:rFonts w:ascii="Arial" w:hAnsi="Arial" w:cs="Arial"/>
        </w:rPr>
        <w:t>Arud</w:t>
      </w:r>
      <w:proofErr w:type="spellEnd"/>
      <w:r w:rsidRPr="00F647B4">
        <w:rPr>
          <w:rFonts w:ascii="Arial" w:hAnsi="Arial" w:cs="Arial"/>
        </w:rPr>
        <w:t xml:space="preserve"> </w:t>
      </w:r>
      <w:proofErr w:type="spellStart"/>
      <w:r w:rsidRPr="00F647B4">
        <w:rPr>
          <w:rFonts w:ascii="Arial" w:hAnsi="Arial" w:cs="Arial"/>
        </w:rPr>
        <w:t>Centres</w:t>
      </w:r>
      <w:proofErr w:type="spellEnd"/>
      <w:r w:rsidRPr="00F647B4">
        <w:rPr>
          <w:rFonts w:ascii="Arial" w:hAnsi="Arial" w:cs="Arial"/>
        </w:rPr>
        <w:t xml:space="preserve"> for Addiction Medicine, Zürich, Switzerland</w:t>
      </w:r>
    </w:p>
    <w:p w:rsidR="00F54C48" w:rsidRPr="00F647B4" w:rsidRDefault="00F54C48" w:rsidP="00F647B4">
      <w:pPr>
        <w:rPr>
          <w:rFonts w:ascii="Arial" w:hAnsi="Arial" w:cs="Arial"/>
        </w:rPr>
      </w:pPr>
      <w:r w:rsidRPr="00F647B4">
        <w:rPr>
          <w:rFonts w:ascii="Arial" w:hAnsi="Arial" w:cs="Arial"/>
          <w:vertAlign w:val="superscript"/>
        </w:rPr>
        <w:t>2</w:t>
      </w:r>
      <w:r w:rsidRPr="00F647B4">
        <w:rPr>
          <w:rFonts w:ascii="Arial" w:hAnsi="Arial" w:cs="Arial"/>
        </w:rPr>
        <w:t xml:space="preserve"> </w:t>
      </w:r>
      <w:proofErr w:type="gramStart"/>
      <w:r w:rsidRPr="00F647B4">
        <w:rPr>
          <w:rFonts w:ascii="Arial" w:hAnsi="Arial" w:cs="Arial"/>
        </w:rPr>
        <w:t>Center</w:t>
      </w:r>
      <w:proofErr w:type="gramEnd"/>
      <w:r w:rsidRPr="00F647B4">
        <w:rPr>
          <w:rFonts w:ascii="Arial" w:hAnsi="Arial" w:cs="Arial"/>
        </w:rPr>
        <w:t xml:space="preserve"> for Disease Analysis, Louisville, Colorado, USA</w:t>
      </w:r>
    </w:p>
    <w:p w:rsidR="00F54C48" w:rsidRPr="00F647B4" w:rsidRDefault="00F54C48" w:rsidP="00F647B4">
      <w:pPr>
        <w:rPr>
          <w:rFonts w:ascii="Arial" w:hAnsi="Arial" w:cs="Arial"/>
        </w:rPr>
      </w:pPr>
      <w:r w:rsidRPr="00F647B4">
        <w:rPr>
          <w:rFonts w:ascii="Arial" w:hAnsi="Arial" w:cs="Arial"/>
          <w:vertAlign w:val="superscript"/>
        </w:rPr>
        <w:t>3</w:t>
      </w:r>
      <w:r w:rsidRPr="00F647B4">
        <w:rPr>
          <w:rFonts w:ascii="Arial" w:hAnsi="Arial" w:cs="Arial"/>
        </w:rPr>
        <w:t xml:space="preserve"> </w:t>
      </w:r>
      <w:proofErr w:type="gramStart"/>
      <w:r w:rsidRPr="00F647B4">
        <w:rPr>
          <w:rFonts w:ascii="Arial" w:hAnsi="Arial" w:cs="Arial"/>
        </w:rPr>
        <w:t>Division</w:t>
      </w:r>
      <w:proofErr w:type="gramEnd"/>
      <w:r w:rsidRPr="00F647B4">
        <w:rPr>
          <w:rFonts w:ascii="Arial" w:hAnsi="Arial" w:cs="Arial"/>
        </w:rPr>
        <w:t xml:space="preserve"> of Gastroenterology and Hepatology, Centre </w:t>
      </w:r>
      <w:proofErr w:type="spellStart"/>
      <w:r w:rsidRPr="00F647B4">
        <w:rPr>
          <w:rFonts w:ascii="Arial" w:hAnsi="Arial" w:cs="Arial"/>
        </w:rPr>
        <w:t>Hospitalier</w:t>
      </w:r>
      <w:proofErr w:type="spellEnd"/>
      <w:r w:rsidRPr="00F647B4">
        <w:rPr>
          <w:rFonts w:ascii="Arial" w:hAnsi="Arial" w:cs="Arial"/>
        </w:rPr>
        <w:t xml:space="preserve"> </w:t>
      </w:r>
      <w:proofErr w:type="spellStart"/>
      <w:r w:rsidRPr="00F647B4">
        <w:rPr>
          <w:rFonts w:ascii="Arial" w:hAnsi="Arial" w:cs="Arial"/>
        </w:rPr>
        <w:t>Universitaire</w:t>
      </w:r>
      <w:proofErr w:type="spellEnd"/>
      <w:r w:rsidRPr="00F647B4">
        <w:rPr>
          <w:rFonts w:ascii="Arial" w:hAnsi="Arial" w:cs="Arial"/>
        </w:rPr>
        <w:t xml:space="preserve"> Vaudois, University of Lausanne, Switzerland</w:t>
      </w:r>
    </w:p>
    <w:p w:rsidR="00F54C48" w:rsidRPr="00F647B4" w:rsidRDefault="00F54C48" w:rsidP="00F647B4">
      <w:pPr>
        <w:rPr>
          <w:rFonts w:ascii="Arial" w:hAnsi="Arial" w:cs="Arial"/>
        </w:rPr>
      </w:pPr>
      <w:r w:rsidRPr="00F647B4">
        <w:rPr>
          <w:rFonts w:ascii="Arial" w:hAnsi="Arial" w:cs="Arial"/>
          <w:vertAlign w:val="superscript"/>
        </w:rPr>
        <w:t>4</w:t>
      </w:r>
      <w:r w:rsidRPr="00F647B4">
        <w:rPr>
          <w:rFonts w:ascii="Arial" w:hAnsi="Arial" w:cs="Arial"/>
        </w:rPr>
        <w:t xml:space="preserve"> Division of Infectious Diseases &amp; Hospital Epidemiology University Hospital Zurich, Switzerland</w:t>
      </w:r>
    </w:p>
    <w:p w:rsidR="00F54C48" w:rsidRPr="00F647B4" w:rsidRDefault="00F54C48" w:rsidP="00F647B4">
      <w:pPr>
        <w:rPr>
          <w:rFonts w:ascii="Arial" w:hAnsi="Arial" w:cs="Arial"/>
        </w:rPr>
      </w:pPr>
      <w:r w:rsidRPr="00F647B4">
        <w:rPr>
          <w:rFonts w:ascii="Arial" w:hAnsi="Arial" w:cs="Arial"/>
          <w:vertAlign w:val="superscript"/>
        </w:rPr>
        <w:t>5</w:t>
      </w:r>
      <w:r w:rsidRPr="00F647B4">
        <w:rPr>
          <w:rFonts w:ascii="Arial" w:hAnsi="Arial" w:cs="Arial"/>
        </w:rPr>
        <w:t xml:space="preserve"> </w:t>
      </w:r>
      <w:proofErr w:type="gramStart"/>
      <w:r w:rsidRPr="00F647B4">
        <w:rPr>
          <w:rFonts w:ascii="Arial" w:hAnsi="Arial" w:cs="Arial"/>
        </w:rPr>
        <w:t>Consultant</w:t>
      </w:r>
      <w:proofErr w:type="gramEnd"/>
      <w:r w:rsidRPr="00F647B4">
        <w:rPr>
          <w:rFonts w:ascii="Arial" w:hAnsi="Arial" w:cs="Arial"/>
        </w:rPr>
        <w:t xml:space="preserve">, </w:t>
      </w:r>
      <w:proofErr w:type="spellStart"/>
      <w:r w:rsidRPr="00F647B4">
        <w:rPr>
          <w:rFonts w:ascii="Arial" w:hAnsi="Arial" w:cs="Arial"/>
        </w:rPr>
        <w:t>Denges</w:t>
      </w:r>
      <w:proofErr w:type="spellEnd"/>
      <w:r w:rsidRPr="00F647B4">
        <w:rPr>
          <w:rFonts w:ascii="Arial" w:hAnsi="Arial" w:cs="Arial"/>
        </w:rPr>
        <w:t>, Switzerland</w:t>
      </w:r>
    </w:p>
    <w:p w:rsidR="00F54C48" w:rsidRPr="00F647B4" w:rsidRDefault="00F54C48" w:rsidP="00F647B4">
      <w:pPr>
        <w:rPr>
          <w:rFonts w:ascii="Arial" w:hAnsi="Arial" w:cs="Arial"/>
        </w:rPr>
      </w:pPr>
      <w:r w:rsidRPr="00F647B4">
        <w:rPr>
          <w:rFonts w:ascii="Arial" w:hAnsi="Arial" w:cs="Arial"/>
          <w:vertAlign w:val="superscript"/>
        </w:rPr>
        <w:t>6</w:t>
      </w:r>
      <w:r w:rsidRPr="00F647B4">
        <w:rPr>
          <w:rFonts w:ascii="Arial" w:hAnsi="Arial" w:cs="Arial"/>
        </w:rPr>
        <w:t xml:space="preserve"> Swiss </w:t>
      </w:r>
      <w:proofErr w:type="spellStart"/>
      <w:r w:rsidRPr="00F647B4">
        <w:rPr>
          <w:rFonts w:ascii="Arial" w:hAnsi="Arial" w:cs="Arial"/>
        </w:rPr>
        <w:t>Hepato</w:t>
      </w:r>
      <w:proofErr w:type="spellEnd"/>
      <w:r w:rsidRPr="00F647B4">
        <w:rPr>
          <w:rFonts w:ascii="Arial" w:hAnsi="Arial" w:cs="Arial"/>
        </w:rPr>
        <w:t>-</w:t>
      </w:r>
      <w:proofErr w:type="spellStart"/>
      <w:r w:rsidRPr="00F647B4">
        <w:rPr>
          <w:rFonts w:ascii="Arial" w:hAnsi="Arial" w:cs="Arial"/>
        </w:rPr>
        <w:t>Pancreato</w:t>
      </w:r>
      <w:proofErr w:type="spellEnd"/>
      <w:r w:rsidRPr="00F647B4">
        <w:rPr>
          <w:rFonts w:ascii="Arial" w:hAnsi="Arial" w:cs="Arial"/>
        </w:rPr>
        <w:t>-Biliary Cen</w:t>
      </w:r>
      <w:bookmarkStart w:id="0" w:name="_GoBack"/>
      <w:bookmarkEnd w:id="0"/>
      <w:r w:rsidRPr="00F647B4">
        <w:rPr>
          <w:rFonts w:ascii="Arial" w:hAnsi="Arial" w:cs="Arial"/>
        </w:rPr>
        <w:t>ter and Department of Gastroenterology and Hepatology, University Hospital Zürich, Switzerland</w:t>
      </w:r>
    </w:p>
    <w:p w:rsidR="00F54C48" w:rsidRPr="00F647B4" w:rsidRDefault="00F54C48" w:rsidP="00F647B4">
      <w:pPr>
        <w:rPr>
          <w:rFonts w:ascii="Arial" w:hAnsi="Arial" w:cs="Arial"/>
        </w:rPr>
      </w:pPr>
      <w:r w:rsidRPr="00F647B4">
        <w:rPr>
          <w:rFonts w:ascii="Arial" w:hAnsi="Arial" w:cs="Arial"/>
          <w:vertAlign w:val="superscript"/>
        </w:rPr>
        <w:t>7</w:t>
      </w:r>
      <w:r w:rsidRPr="00F647B4">
        <w:rPr>
          <w:rFonts w:ascii="Arial" w:hAnsi="Arial" w:cs="Arial"/>
        </w:rPr>
        <w:t xml:space="preserve"> University </w:t>
      </w:r>
      <w:proofErr w:type="gramStart"/>
      <w:r w:rsidRPr="00F647B4">
        <w:rPr>
          <w:rFonts w:ascii="Arial" w:hAnsi="Arial" w:cs="Arial"/>
        </w:rPr>
        <w:t>Clinic</w:t>
      </w:r>
      <w:proofErr w:type="gramEnd"/>
      <w:r w:rsidRPr="00F647B4">
        <w:rPr>
          <w:rFonts w:ascii="Arial" w:hAnsi="Arial" w:cs="Arial"/>
        </w:rPr>
        <w:t xml:space="preserve"> of Infectious Diseases, University Hospital Bern, Switzerland</w:t>
      </w:r>
    </w:p>
    <w:p w:rsidR="0004301C" w:rsidRPr="00F647B4" w:rsidRDefault="00F54C48" w:rsidP="00F647B4">
      <w:pPr>
        <w:rPr>
          <w:rFonts w:ascii="Arial" w:hAnsi="Arial" w:cs="Arial"/>
        </w:rPr>
      </w:pPr>
      <w:r w:rsidRPr="00F647B4">
        <w:rPr>
          <w:rFonts w:ascii="Arial" w:hAnsi="Arial" w:cs="Arial"/>
          <w:vertAlign w:val="superscript"/>
        </w:rPr>
        <w:t>8</w:t>
      </w:r>
      <w:r w:rsidRPr="00F647B4">
        <w:rPr>
          <w:rFonts w:ascii="Arial" w:hAnsi="Arial" w:cs="Arial"/>
        </w:rPr>
        <w:t xml:space="preserve"> Division of Infectious Diseases &amp; Hospital Epidemiology, Cantonal Hospital St. </w:t>
      </w:r>
      <w:proofErr w:type="spellStart"/>
      <w:r w:rsidRPr="00F647B4">
        <w:rPr>
          <w:rFonts w:ascii="Arial" w:hAnsi="Arial" w:cs="Arial"/>
        </w:rPr>
        <w:t>Gallen</w:t>
      </w:r>
      <w:proofErr w:type="spellEnd"/>
      <w:r w:rsidRPr="00F647B4">
        <w:rPr>
          <w:rFonts w:ascii="Arial" w:hAnsi="Arial" w:cs="Arial"/>
        </w:rPr>
        <w:t>, Switzerland</w:t>
      </w:r>
    </w:p>
    <w:p w:rsidR="00F54C48" w:rsidRPr="00F647B4" w:rsidRDefault="00F54C48" w:rsidP="00F647B4">
      <w:pPr>
        <w:rPr>
          <w:rFonts w:ascii="Arial" w:hAnsi="Arial" w:cs="Arial"/>
        </w:rPr>
      </w:pPr>
      <w:r w:rsidRPr="00F647B4">
        <w:rPr>
          <w:rFonts w:ascii="Arial" w:hAnsi="Arial" w:cs="Arial"/>
          <w:vertAlign w:val="superscript"/>
        </w:rPr>
        <w:t>9</w:t>
      </w:r>
      <w:r w:rsidRPr="00F647B4">
        <w:rPr>
          <w:rFonts w:ascii="Arial" w:hAnsi="Arial" w:cs="Arial"/>
        </w:rPr>
        <w:t xml:space="preserve"> </w:t>
      </w:r>
      <w:proofErr w:type="gramStart"/>
      <w:r w:rsidRPr="00F647B4">
        <w:rPr>
          <w:rFonts w:ascii="Arial" w:hAnsi="Arial" w:cs="Arial"/>
        </w:rPr>
        <w:t>Division</w:t>
      </w:r>
      <w:proofErr w:type="gramEnd"/>
      <w:r w:rsidRPr="00F647B4">
        <w:rPr>
          <w:rFonts w:ascii="Arial" w:hAnsi="Arial" w:cs="Arial"/>
        </w:rPr>
        <w:t xml:space="preserve"> of Gastroenterology &amp; Hepatology, Cantonal Hospital St. </w:t>
      </w:r>
      <w:proofErr w:type="spellStart"/>
      <w:r w:rsidRPr="00F647B4">
        <w:rPr>
          <w:rFonts w:ascii="Arial" w:hAnsi="Arial" w:cs="Arial"/>
        </w:rPr>
        <w:t>Gallen</w:t>
      </w:r>
      <w:proofErr w:type="spellEnd"/>
      <w:r w:rsidRPr="00F647B4">
        <w:rPr>
          <w:rFonts w:ascii="Arial" w:hAnsi="Arial" w:cs="Arial"/>
        </w:rPr>
        <w:t>, Switzerland</w:t>
      </w:r>
    </w:p>
    <w:p w:rsidR="00F54C48" w:rsidRPr="00F647B4" w:rsidRDefault="00F54C48" w:rsidP="00F647B4">
      <w:pPr>
        <w:rPr>
          <w:rFonts w:ascii="Arial" w:hAnsi="Arial" w:cs="Arial"/>
        </w:rPr>
      </w:pPr>
      <w:r w:rsidRPr="00F647B4">
        <w:rPr>
          <w:rFonts w:ascii="Arial" w:hAnsi="Arial" w:cs="Arial"/>
          <w:vertAlign w:val="superscript"/>
        </w:rPr>
        <w:t>10</w:t>
      </w:r>
      <w:r w:rsidRPr="00F647B4">
        <w:rPr>
          <w:rFonts w:ascii="Arial" w:hAnsi="Arial" w:cs="Arial"/>
        </w:rPr>
        <w:t xml:space="preserve"> Infectious Diseases &amp; Hospital Epidemiology, University Hospital Basel, Switzerland</w:t>
      </w:r>
    </w:p>
    <w:p w:rsidR="00F54C48" w:rsidRPr="00F647B4" w:rsidRDefault="00F54C48" w:rsidP="00F647B4">
      <w:pPr>
        <w:rPr>
          <w:rFonts w:ascii="Arial" w:hAnsi="Arial" w:cs="Arial"/>
        </w:rPr>
      </w:pPr>
      <w:r w:rsidRPr="00F647B4">
        <w:rPr>
          <w:rFonts w:ascii="Arial" w:hAnsi="Arial" w:cs="Arial"/>
          <w:vertAlign w:val="superscript"/>
        </w:rPr>
        <w:t>11</w:t>
      </w:r>
      <w:r w:rsidRPr="00F647B4">
        <w:rPr>
          <w:rFonts w:ascii="Arial" w:hAnsi="Arial" w:cs="Arial"/>
        </w:rPr>
        <w:t xml:space="preserve"> Divisions of Gastroenterology and Hepatology and of Clinical Pathology, University Hospital, Genève, Switzerland</w:t>
      </w:r>
    </w:p>
    <w:p w:rsidR="00F54C48" w:rsidRPr="00F647B4" w:rsidRDefault="00F54C48" w:rsidP="00F647B4">
      <w:pPr>
        <w:rPr>
          <w:rFonts w:ascii="Arial" w:hAnsi="Arial" w:cs="Arial"/>
        </w:rPr>
      </w:pPr>
    </w:p>
    <w:p w:rsidR="00435EA5" w:rsidRDefault="00435EA5" w:rsidP="00F647B4">
      <w:pPr>
        <w:rPr>
          <w:rFonts w:ascii="Arial" w:hAnsi="Arial" w:cs="Arial"/>
        </w:rPr>
      </w:pPr>
      <w:r w:rsidRPr="00F647B4">
        <w:rPr>
          <w:rFonts w:ascii="Arial" w:hAnsi="Arial" w:cs="Arial"/>
          <w:b/>
        </w:rPr>
        <w:t>Introduction:</w:t>
      </w:r>
      <w:r w:rsidR="00F647B4">
        <w:rPr>
          <w:rFonts w:ascii="Arial" w:hAnsi="Arial" w:cs="Arial"/>
          <w:b/>
        </w:rPr>
        <w:t xml:space="preserve"> </w:t>
      </w:r>
      <w:r w:rsidR="00F63331" w:rsidRPr="00F647B4">
        <w:rPr>
          <w:rFonts w:ascii="Arial" w:hAnsi="Arial" w:cs="Arial"/>
        </w:rPr>
        <w:t>In Switzerland, HCV among PWIDs has been decreasing due to active harm reduction efforts and an aging population. There are 8,000 – 12,0</w:t>
      </w:r>
      <w:r w:rsidR="000F0BC4" w:rsidRPr="00F647B4">
        <w:rPr>
          <w:rFonts w:ascii="Arial" w:hAnsi="Arial" w:cs="Arial"/>
        </w:rPr>
        <w:t>00 active PWIDs in Switzerland, of whom,</w:t>
      </w:r>
      <w:r w:rsidR="00F63331" w:rsidRPr="00F647B4">
        <w:rPr>
          <w:rFonts w:ascii="Arial" w:hAnsi="Arial" w:cs="Arial"/>
        </w:rPr>
        <w:t xml:space="preserve"> 42% (27%-58%) are HCV infected. </w:t>
      </w:r>
      <w:r w:rsidR="007048DE" w:rsidRPr="00F647B4">
        <w:rPr>
          <w:rFonts w:ascii="Arial" w:hAnsi="Arial" w:cs="Arial"/>
        </w:rPr>
        <w:t>Approximately 17,000 – 25,700 individuals were enrolled in opioid substitution therapy (OST) and 1,598 in heroin substitution therapy (</w:t>
      </w:r>
      <w:proofErr w:type="spellStart"/>
      <w:r w:rsidR="007048DE" w:rsidRPr="00F647B4">
        <w:rPr>
          <w:rFonts w:ascii="Arial" w:hAnsi="Arial" w:cs="Arial"/>
        </w:rPr>
        <w:t>HeGeBe</w:t>
      </w:r>
      <w:proofErr w:type="spellEnd"/>
      <w:r w:rsidR="007048DE" w:rsidRPr="00F647B4">
        <w:rPr>
          <w:rFonts w:ascii="Arial" w:hAnsi="Arial" w:cs="Arial"/>
        </w:rPr>
        <w:t xml:space="preserve">) with 300,000 syringes distributed monthly in 2012. </w:t>
      </w:r>
      <w:r w:rsidR="00F63331" w:rsidRPr="00F647B4">
        <w:rPr>
          <w:rFonts w:ascii="Arial" w:hAnsi="Arial" w:cs="Arial"/>
        </w:rPr>
        <w:t xml:space="preserve">Nearly 27.4% of OST and 54% of </w:t>
      </w:r>
      <w:proofErr w:type="spellStart"/>
      <w:r w:rsidR="00F63331" w:rsidRPr="00F647B4">
        <w:rPr>
          <w:rFonts w:ascii="Arial" w:hAnsi="Arial" w:cs="Arial"/>
        </w:rPr>
        <w:t>HeGeBe</w:t>
      </w:r>
      <w:proofErr w:type="spellEnd"/>
      <w:r w:rsidR="00F63331" w:rsidRPr="00F647B4">
        <w:rPr>
          <w:rFonts w:ascii="Arial" w:hAnsi="Arial" w:cs="Arial"/>
        </w:rPr>
        <w:t xml:space="preserve"> participants injected while on treatment. Recent therapeutic advances promise greater convenience (oral therapies) with higher efficacy (&gt;90% sustained viral response) and shorter duration of treatment.</w:t>
      </w:r>
    </w:p>
    <w:p w:rsidR="00F647B4" w:rsidRPr="00F647B4" w:rsidRDefault="00F647B4" w:rsidP="00F647B4">
      <w:pPr>
        <w:rPr>
          <w:rFonts w:ascii="Arial" w:hAnsi="Arial" w:cs="Arial"/>
        </w:rPr>
      </w:pPr>
    </w:p>
    <w:p w:rsidR="00435EA5" w:rsidRDefault="00435EA5" w:rsidP="00F647B4">
      <w:pPr>
        <w:rPr>
          <w:rFonts w:ascii="Arial" w:hAnsi="Arial" w:cs="Arial"/>
        </w:rPr>
      </w:pPr>
      <w:r w:rsidRPr="00F647B4">
        <w:rPr>
          <w:rFonts w:ascii="Arial" w:hAnsi="Arial" w:cs="Arial"/>
          <w:b/>
        </w:rPr>
        <w:t>Methods:</w:t>
      </w:r>
      <w:r w:rsidR="00F647B4">
        <w:rPr>
          <w:rFonts w:ascii="Arial" w:hAnsi="Arial" w:cs="Arial"/>
          <w:b/>
        </w:rPr>
        <w:t xml:space="preserve"> </w:t>
      </w:r>
      <w:r w:rsidR="00F63331" w:rsidRPr="00F647B4">
        <w:rPr>
          <w:rFonts w:ascii="Arial" w:hAnsi="Arial" w:cs="Arial"/>
        </w:rPr>
        <w:t>HCV transmission was modeled using cohorts to track HCV incidence and prevalence among PWIDs in the general population, as well as PWIDs enrolled in OST and/or needle exchange programs (NEP). Model assumptions were derived from published literature and expert consensus. The relative impact of increasing treat</w:t>
      </w:r>
      <w:r w:rsidR="000F0BC4" w:rsidRPr="00F647B4">
        <w:rPr>
          <w:rFonts w:ascii="Arial" w:hAnsi="Arial" w:cs="Arial"/>
        </w:rPr>
        <w:t>ment among PWIDs was considered</w:t>
      </w:r>
      <w:r w:rsidR="00F63331" w:rsidRPr="00F647B4">
        <w:rPr>
          <w:rFonts w:ascii="Arial" w:hAnsi="Arial" w:cs="Arial"/>
        </w:rPr>
        <w:t>.</w:t>
      </w:r>
    </w:p>
    <w:p w:rsidR="00F647B4" w:rsidRPr="00F647B4" w:rsidRDefault="00F647B4" w:rsidP="00F647B4">
      <w:pPr>
        <w:rPr>
          <w:rFonts w:ascii="Arial" w:hAnsi="Arial" w:cs="Arial"/>
          <w:b/>
        </w:rPr>
      </w:pPr>
    </w:p>
    <w:p w:rsidR="00435EA5" w:rsidRPr="00F647B4" w:rsidRDefault="00435EA5" w:rsidP="00F647B4">
      <w:pPr>
        <w:rPr>
          <w:rFonts w:ascii="Arial" w:hAnsi="Arial" w:cs="Arial"/>
          <w:b/>
        </w:rPr>
      </w:pPr>
      <w:proofErr w:type="gramStart"/>
      <w:r w:rsidRPr="00F647B4">
        <w:rPr>
          <w:rFonts w:ascii="Arial" w:hAnsi="Arial" w:cs="Arial"/>
          <w:b/>
        </w:rPr>
        <w:t>Results:</w:t>
      </w:r>
      <w:r w:rsidR="00F63331" w:rsidRPr="00F647B4">
        <w:rPr>
          <w:rFonts w:ascii="Arial" w:hAnsi="Arial" w:cs="Arial"/>
          <w:b/>
        </w:rPr>
        <w:t xml:space="preserve"> </w:t>
      </w:r>
      <w:r w:rsidR="00F63331" w:rsidRPr="00F647B4">
        <w:rPr>
          <w:rFonts w:ascii="Arial" w:hAnsi="Arial" w:cs="Arial"/>
        </w:rPr>
        <w:t xml:space="preserve">If the current transmission paradigm continues, there </w:t>
      </w:r>
      <w:r w:rsidR="000F0BC4" w:rsidRPr="00F647B4">
        <w:rPr>
          <w:rFonts w:ascii="Arial" w:hAnsi="Arial" w:cs="Arial"/>
        </w:rPr>
        <w:t>will</w:t>
      </w:r>
      <w:r w:rsidR="00F63331" w:rsidRPr="00F647B4">
        <w:rPr>
          <w:rFonts w:ascii="Arial" w:hAnsi="Arial" w:cs="Arial"/>
        </w:rPr>
        <w:t xml:space="preserve"> be 3,150 HCV infected PWIDs in 2030.</w:t>
      </w:r>
      <w:proofErr w:type="gramEnd"/>
      <w:r w:rsidR="00F63331" w:rsidRPr="00F647B4">
        <w:rPr>
          <w:rFonts w:ascii="Arial" w:hAnsi="Arial" w:cs="Arial"/>
        </w:rPr>
        <w:t xml:space="preserve"> Annually treating 45 HCV-infected PWIDs (1% of HCV-infected PWID population in 2014) resulted in an 11% reduction in HCV-infected PWIDs by 2030, while annual treatment of 200 PWIDs (4.5% of 2014 population) resulted in a reduction of </w:t>
      </w:r>
      <w:r w:rsidR="007048DE" w:rsidRPr="00F647B4">
        <w:rPr>
          <w:rFonts w:ascii="Arial" w:hAnsi="Arial" w:cs="Arial"/>
        </w:rPr>
        <w:t>&gt;</w:t>
      </w:r>
      <w:r w:rsidR="00F63331" w:rsidRPr="00F647B4">
        <w:rPr>
          <w:rFonts w:ascii="Arial" w:hAnsi="Arial" w:cs="Arial"/>
        </w:rPr>
        <w:t>50% by 2030. Treating 322 PWIDs annually (7.5% of 2014 population) resulted in a &gt;90% reduction in HCV-infected PWIDs by 2030. To achieve a 1-person reduction in overall prevalence by 2030, it was necessary to treat 1.6 PWIDs in OST/NEP as compared with 3.4 PWIDs in the general population.</w:t>
      </w:r>
    </w:p>
    <w:p w:rsidR="00F647B4" w:rsidRDefault="00F647B4" w:rsidP="00F647B4">
      <w:pPr>
        <w:rPr>
          <w:rFonts w:ascii="Arial" w:hAnsi="Arial" w:cs="Arial"/>
          <w:b/>
        </w:rPr>
      </w:pPr>
    </w:p>
    <w:p w:rsidR="00435EA5" w:rsidRPr="00F647B4" w:rsidRDefault="00435EA5" w:rsidP="00F647B4">
      <w:pPr>
        <w:rPr>
          <w:rFonts w:ascii="Arial" w:hAnsi="Arial" w:cs="Arial"/>
        </w:rPr>
      </w:pPr>
      <w:r w:rsidRPr="00F647B4">
        <w:rPr>
          <w:rFonts w:ascii="Arial" w:hAnsi="Arial" w:cs="Arial"/>
          <w:b/>
        </w:rPr>
        <w:t>Conclusion:</w:t>
      </w:r>
      <w:r w:rsidR="00F647B4">
        <w:rPr>
          <w:rFonts w:ascii="Arial" w:hAnsi="Arial" w:cs="Arial"/>
          <w:b/>
        </w:rPr>
        <w:t xml:space="preserve"> </w:t>
      </w:r>
      <w:r w:rsidR="00F63331" w:rsidRPr="00F647B4">
        <w:rPr>
          <w:rFonts w:ascii="Arial" w:hAnsi="Arial" w:cs="Arial"/>
        </w:rPr>
        <w:t>Treating a relatively small number of PWIDs results in substantial decreases in the HCV infected PWID population by 2030. Additionally, the impact of treatment is higher among PWIDs engaged in harm reduction programs. These data support implementation of a screening and treatment strategy among PWIDs, and particularly among PWIDs engaged in OST and NEP.</w:t>
      </w:r>
    </w:p>
    <w:p w:rsidR="00F63331" w:rsidRPr="00F647B4" w:rsidRDefault="00F63331" w:rsidP="00F647B4">
      <w:pPr>
        <w:autoSpaceDE w:val="0"/>
        <w:autoSpaceDN w:val="0"/>
        <w:adjustRightInd w:val="0"/>
        <w:rPr>
          <w:rFonts w:ascii="Arial" w:hAnsi="Arial" w:cs="Arial"/>
          <w:b/>
          <w:color w:val="000000"/>
        </w:rPr>
      </w:pPr>
    </w:p>
    <w:p w:rsidR="00D755F5" w:rsidRPr="00F647B4" w:rsidRDefault="00D755F5" w:rsidP="00F647B4">
      <w:pPr>
        <w:autoSpaceDE w:val="0"/>
        <w:autoSpaceDN w:val="0"/>
        <w:adjustRightInd w:val="0"/>
        <w:rPr>
          <w:rStyle w:val="bodytext"/>
          <w:rFonts w:ascii="Arial" w:hAnsi="Arial" w:cs="Arial"/>
        </w:rPr>
      </w:pPr>
      <w:r w:rsidRPr="00F647B4">
        <w:rPr>
          <w:rFonts w:ascii="Arial" w:hAnsi="Arial" w:cs="Arial"/>
          <w:b/>
          <w:color w:val="000000"/>
        </w:rPr>
        <w:t>Disclosure of Interest Statement:</w:t>
      </w:r>
      <w:r w:rsidR="00F647B4">
        <w:rPr>
          <w:rFonts w:ascii="Arial" w:hAnsi="Arial" w:cs="Arial"/>
          <w:b/>
          <w:color w:val="000000"/>
        </w:rPr>
        <w:t xml:space="preserve"> </w:t>
      </w:r>
      <w:r w:rsidR="00F63331" w:rsidRPr="00F647B4">
        <w:rPr>
          <w:rFonts w:ascii="Arial" w:hAnsi="Arial" w:cs="Arial"/>
        </w:rPr>
        <w:t xml:space="preserve">This study was sponsored by Gilead Sciences, Inc. </w:t>
      </w:r>
    </w:p>
    <w:sectPr w:rsidR="00D755F5" w:rsidRPr="00F647B4" w:rsidSect="00F647B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EA" w:rsidRDefault="009C5AEA" w:rsidP="006303EA">
      <w:r>
        <w:separator/>
      </w:r>
    </w:p>
  </w:endnote>
  <w:endnote w:type="continuationSeparator" w:id="0">
    <w:p w:rsidR="009C5AEA" w:rsidRDefault="009C5A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EA" w:rsidRDefault="009C5AEA" w:rsidP="006303EA">
      <w:r>
        <w:separator/>
      </w:r>
    </w:p>
  </w:footnote>
  <w:footnote w:type="continuationSeparator" w:id="0">
    <w:p w:rsidR="009C5AEA" w:rsidRDefault="009C5AEA"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EA" w:rsidRDefault="006303EA" w:rsidP="006303EA">
    <w:pPr>
      <w:ind w:right="-1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16789"/>
    <w:rsid w:val="00027CE9"/>
    <w:rsid w:val="00032DD3"/>
    <w:rsid w:val="0004301C"/>
    <w:rsid w:val="00071617"/>
    <w:rsid w:val="000F0BC4"/>
    <w:rsid w:val="001731BA"/>
    <w:rsid w:val="00181C78"/>
    <w:rsid w:val="00231F9B"/>
    <w:rsid w:val="00254C5A"/>
    <w:rsid w:val="00435EA5"/>
    <w:rsid w:val="004A74AE"/>
    <w:rsid w:val="00535912"/>
    <w:rsid w:val="005769F2"/>
    <w:rsid w:val="006303EA"/>
    <w:rsid w:val="006D4409"/>
    <w:rsid w:val="007048DE"/>
    <w:rsid w:val="00753449"/>
    <w:rsid w:val="0081759C"/>
    <w:rsid w:val="009B0A6F"/>
    <w:rsid w:val="009C5AEA"/>
    <w:rsid w:val="00B32CC1"/>
    <w:rsid w:val="00B45670"/>
    <w:rsid w:val="00C20863"/>
    <w:rsid w:val="00C30437"/>
    <w:rsid w:val="00C53098"/>
    <w:rsid w:val="00D755F5"/>
    <w:rsid w:val="00F04EC5"/>
    <w:rsid w:val="00F54C48"/>
    <w:rsid w:val="00F63331"/>
    <w:rsid w:val="00F647B4"/>
    <w:rsid w:val="00FA408B"/>
    <w:rsid w:val="00FC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35D1-BE93-41F1-9EDA-BD6A68BE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ASHM</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4</cp:revision>
  <dcterms:created xsi:type="dcterms:W3CDTF">2015-06-09T10:33:00Z</dcterms:created>
  <dcterms:modified xsi:type="dcterms:W3CDTF">2015-06-17T02:12:00Z</dcterms:modified>
</cp:coreProperties>
</file>