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E2" w:rsidRPr="00344CA6" w:rsidRDefault="00786E57" w:rsidP="001172E2">
      <w:pPr>
        <w:rPr>
          <w:rFonts w:ascii="Arial" w:hAnsi="Arial" w:cs="Arial"/>
          <w:b/>
        </w:rPr>
      </w:pPr>
      <w:r>
        <w:rPr>
          <w:rFonts w:ascii="Arial" w:hAnsi="Arial" w:cs="Arial"/>
          <w:b/>
        </w:rPr>
        <w:t>A SINGLE TABLET REGIMEN OF LEDIPASVIR + S</w:t>
      </w:r>
      <w:r w:rsidRPr="00344CA6">
        <w:rPr>
          <w:rFonts w:ascii="Arial" w:hAnsi="Arial" w:cs="Arial"/>
          <w:b/>
        </w:rPr>
        <w:t>OFOSBUVIR</w:t>
      </w:r>
      <w:r>
        <w:rPr>
          <w:rFonts w:ascii="Arial" w:hAnsi="Arial" w:cs="Arial"/>
          <w:b/>
        </w:rPr>
        <w:t xml:space="preserve"> IS</w:t>
      </w:r>
      <w:r w:rsidRPr="00344CA6">
        <w:rPr>
          <w:rFonts w:ascii="Arial" w:hAnsi="Arial" w:cs="Arial"/>
          <w:b/>
        </w:rPr>
        <w:t xml:space="preserve"> EFFICACIOUS</w:t>
      </w:r>
      <w:r>
        <w:rPr>
          <w:rFonts w:ascii="Arial" w:hAnsi="Arial" w:cs="Arial"/>
          <w:b/>
        </w:rPr>
        <w:t xml:space="preserve"> AND WELL-TOLERATED AMONG PEOPLE RECEIVING O</w:t>
      </w:r>
      <w:r w:rsidRPr="00344CA6">
        <w:rPr>
          <w:rFonts w:ascii="Arial" w:hAnsi="Arial" w:cs="Arial"/>
          <w:b/>
        </w:rPr>
        <w:t xml:space="preserve">PIATE </w:t>
      </w:r>
      <w:r>
        <w:rPr>
          <w:rFonts w:ascii="Arial" w:hAnsi="Arial" w:cs="Arial"/>
          <w:b/>
        </w:rPr>
        <w:t>SUBSTITUTION T</w:t>
      </w:r>
      <w:r w:rsidRPr="00344CA6">
        <w:rPr>
          <w:rFonts w:ascii="Arial" w:hAnsi="Arial" w:cs="Arial"/>
          <w:b/>
        </w:rPr>
        <w:t xml:space="preserve">HERAPY </w:t>
      </w:r>
    </w:p>
    <w:p w:rsidR="00B32CC1" w:rsidRPr="00176BAF" w:rsidRDefault="00B32CC1" w:rsidP="00B32CC1">
      <w:pPr>
        <w:rPr>
          <w:rFonts w:ascii="Arial" w:hAnsi="Arial" w:cs="Arial"/>
        </w:rPr>
      </w:pPr>
    </w:p>
    <w:p w:rsidR="001172E2" w:rsidRPr="001172E2" w:rsidRDefault="001172E2" w:rsidP="001172E2">
      <w:pPr>
        <w:rPr>
          <w:rFonts w:ascii="Arial" w:hAnsi="Arial" w:cs="Arial"/>
          <w:vertAlign w:val="superscript"/>
        </w:rPr>
      </w:pPr>
      <w:proofErr w:type="spellStart"/>
      <w:r w:rsidRPr="001172E2">
        <w:rPr>
          <w:rFonts w:ascii="Arial" w:hAnsi="Arial" w:cs="Arial"/>
          <w:u w:val="single"/>
        </w:rPr>
        <w:t>Grebely</w:t>
      </w:r>
      <w:proofErr w:type="spellEnd"/>
      <w:r w:rsidRPr="001172E2">
        <w:rPr>
          <w:rFonts w:ascii="Arial" w:hAnsi="Arial" w:cs="Arial"/>
          <w:u w:val="single"/>
        </w:rPr>
        <w:t xml:space="preserve"> J</w:t>
      </w:r>
      <w:r>
        <w:rPr>
          <w:rFonts w:ascii="Arial" w:hAnsi="Arial" w:cs="Arial"/>
          <w:u w:val="single"/>
          <w:vertAlign w:val="superscript"/>
        </w:rPr>
        <w:t>1</w:t>
      </w:r>
      <w:r w:rsidRPr="001172E2">
        <w:rPr>
          <w:rFonts w:ascii="Arial" w:hAnsi="Arial" w:cs="Arial"/>
          <w:u w:val="single"/>
        </w:rPr>
        <w:t>,</w:t>
      </w:r>
      <w:r w:rsidRPr="001172E2">
        <w:rPr>
          <w:rFonts w:ascii="Arial" w:hAnsi="Arial" w:cs="Arial"/>
        </w:rPr>
        <w:t xml:space="preserve"> </w:t>
      </w:r>
      <w:proofErr w:type="spellStart"/>
      <w:r w:rsidRPr="00917C83">
        <w:rPr>
          <w:rFonts w:ascii="Arial" w:hAnsi="Arial" w:cs="Arial"/>
        </w:rPr>
        <w:t>Mauss</w:t>
      </w:r>
      <w:proofErr w:type="spellEnd"/>
      <w:r w:rsidRPr="00917C83">
        <w:rPr>
          <w:rFonts w:ascii="Arial" w:hAnsi="Arial" w:cs="Arial"/>
        </w:rPr>
        <w:t xml:space="preserve"> S</w:t>
      </w:r>
      <w:r w:rsidRPr="00917C83">
        <w:rPr>
          <w:rFonts w:ascii="Arial" w:hAnsi="Arial" w:cs="Arial"/>
          <w:vertAlign w:val="superscript"/>
        </w:rPr>
        <w:t>2</w:t>
      </w:r>
      <w:r w:rsidRPr="00917C83">
        <w:rPr>
          <w:rFonts w:ascii="Arial" w:hAnsi="Arial" w:cs="Arial"/>
        </w:rPr>
        <w:t>, Brown A</w:t>
      </w:r>
      <w:r w:rsidRPr="00917C83">
        <w:rPr>
          <w:rFonts w:ascii="Arial" w:hAnsi="Arial" w:cs="Arial"/>
          <w:vertAlign w:val="superscript"/>
        </w:rPr>
        <w:t>3</w:t>
      </w:r>
      <w:r w:rsidRPr="00917C83">
        <w:rPr>
          <w:rFonts w:ascii="Arial" w:hAnsi="Arial" w:cs="Arial"/>
        </w:rPr>
        <w:t>, Puoti M</w:t>
      </w:r>
      <w:r w:rsidRPr="00917C83">
        <w:rPr>
          <w:rFonts w:ascii="Arial" w:hAnsi="Arial" w:cs="Arial"/>
          <w:vertAlign w:val="superscript"/>
        </w:rPr>
        <w:t>4</w:t>
      </w:r>
      <w:r w:rsidRPr="00917C83">
        <w:rPr>
          <w:rFonts w:ascii="Arial" w:hAnsi="Arial" w:cs="Arial"/>
        </w:rPr>
        <w:t>, Hawkins T</w:t>
      </w:r>
      <w:r w:rsidRPr="00917C83">
        <w:rPr>
          <w:rFonts w:ascii="Arial" w:hAnsi="Arial" w:cs="Arial"/>
          <w:vertAlign w:val="superscript"/>
        </w:rPr>
        <w:t>5</w:t>
      </w:r>
      <w:r w:rsidRPr="00917C83">
        <w:rPr>
          <w:rFonts w:ascii="Arial" w:hAnsi="Arial" w:cs="Arial"/>
        </w:rPr>
        <w:t>, Wyles D</w:t>
      </w:r>
      <w:r w:rsidRPr="00917C83">
        <w:rPr>
          <w:rFonts w:ascii="Arial" w:hAnsi="Arial" w:cs="Arial"/>
          <w:vertAlign w:val="superscript"/>
        </w:rPr>
        <w:t>6</w:t>
      </w:r>
      <w:r w:rsidRPr="00917C83">
        <w:rPr>
          <w:rFonts w:ascii="Arial" w:hAnsi="Arial" w:cs="Arial"/>
        </w:rPr>
        <w:t>,</w:t>
      </w:r>
      <w:r w:rsidRPr="001172E2">
        <w:rPr>
          <w:rFonts w:ascii="Arial" w:hAnsi="Arial" w:cs="Arial"/>
        </w:rPr>
        <w:t xml:space="preserve"> Natha M</w:t>
      </w:r>
      <w:r>
        <w:rPr>
          <w:rFonts w:ascii="Arial" w:hAnsi="Arial" w:cs="Arial"/>
          <w:vertAlign w:val="superscript"/>
        </w:rPr>
        <w:t>7</w:t>
      </w:r>
      <w:r w:rsidRPr="001172E2">
        <w:rPr>
          <w:rFonts w:ascii="Arial" w:hAnsi="Arial" w:cs="Arial"/>
        </w:rPr>
        <w:t>, Zhu Y</w:t>
      </w:r>
      <w:r>
        <w:rPr>
          <w:rFonts w:ascii="Arial" w:hAnsi="Arial" w:cs="Arial"/>
          <w:vertAlign w:val="superscript"/>
        </w:rPr>
        <w:t>7</w:t>
      </w:r>
      <w:r w:rsidRPr="001172E2">
        <w:rPr>
          <w:rFonts w:ascii="Arial" w:hAnsi="Arial" w:cs="Arial"/>
        </w:rPr>
        <w:t>, Avila C</w:t>
      </w:r>
      <w:r>
        <w:rPr>
          <w:rFonts w:ascii="Arial" w:hAnsi="Arial" w:cs="Arial"/>
          <w:vertAlign w:val="superscript"/>
        </w:rPr>
        <w:t>7</w:t>
      </w:r>
      <w:r w:rsidRPr="001172E2">
        <w:rPr>
          <w:rFonts w:ascii="Arial" w:hAnsi="Arial" w:cs="Arial"/>
        </w:rPr>
        <w:t>, Pang P</w:t>
      </w:r>
      <w:r>
        <w:rPr>
          <w:rFonts w:ascii="Arial" w:hAnsi="Arial" w:cs="Arial"/>
          <w:vertAlign w:val="superscript"/>
        </w:rPr>
        <w:t>7</w:t>
      </w:r>
      <w:r w:rsidR="00417A02">
        <w:rPr>
          <w:rFonts w:ascii="Arial" w:hAnsi="Arial" w:cs="Arial"/>
        </w:rPr>
        <w:t>,</w:t>
      </w:r>
      <w:r w:rsidR="00417A02" w:rsidRPr="00917C83">
        <w:rPr>
          <w:rFonts w:ascii="Arial" w:hAnsi="Arial" w:cs="Arial"/>
        </w:rPr>
        <w:t xml:space="preserve"> C</w:t>
      </w:r>
      <w:r w:rsidR="00417A02" w:rsidRPr="001172E2">
        <w:rPr>
          <w:rFonts w:ascii="Arial" w:hAnsi="Arial" w:cs="Arial"/>
        </w:rPr>
        <w:t>arr V</w:t>
      </w:r>
      <w:r w:rsidR="00417A02">
        <w:rPr>
          <w:rFonts w:ascii="Arial" w:hAnsi="Arial" w:cs="Arial"/>
          <w:vertAlign w:val="superscript"/>
        </w:rPr>
        <w:t>7</w:t>
      </w:r>
      <w:r w:rsidR="00417A02" w:rsidRPr="001172E2">
        <w:rPr>
          <w:rFonts w:ascii="Arial" w:hAnsi="Arial" w:cs="Arial"/>
        </w:rPr>
        <w:t>,</w:t>
      </w:r>
      <w:r w:rsidRPr="001172E2">
        <w:rPr>
          <w:rFonts w:ascii="Arial" w:hAnsi="Arial" w:cs="Arial"/>
        </w:rPr>
        <w:t xml:space="preserve"> Dore G</w:t>
      </w:r>
      <w:r w:rsidR="00B05B1B">
        <w:rPr>
          <w:rFonts w:ascii="Arial" w:hAnsi="Arial" w:cs="Arial"/>
        </w:rPr>
        <w:t>J</w:t>
      </w:r>
      <w:r>
        <w:rPr>
          <w:rFonts w:ascii="Arial" w:hAnsi="Arial" w:cs="Arial"/>
          <w:vertAlign w:val="superscript"/>
        </w:rPr>
        <w:t>1</w:t>
      </w:r>
    </w:p>
    <w:p w:rsidR="00B32CC1" w:rsidRDefault="00B32CC1" w:rsidP="00B32CC1">
      <w:pPr>
        <w:rPr>
          <w:rFonts w:ascii="Arial" w:hAnsi="Arial" w:cs="Arial"/>
        </w:rPr>
      </w:pPr>
    </w:p>
    <w:p w:rsidR="00B32CC1" w:rsidRPr="0063650B" w:rsidRDefault="00B32CC1" w:rsidP="00DE6A33">
      <w:pPr>
        <w:rPr>
          <w:rFonts w:ascii="Arial" w:hAnsi="Arial" w:cs="Arial"/>
        </w:rPr>
      </w:pPr>
      <w:r w:rsidRPr="0073221B">
        <w:rPr>
          <w:rFonts w:ascii="Arial" w:hAnsi="Arial" w:cs="Arial"/>
          <w:vertAlign w:val="superscript"/>
        </w:rPr>
        <w:t>1</w:t>
      </w:r>
      <w:r>
        <w:rPr>
          <w:rFonts w:ascii="Arial" w:hAnsi="Arial" w:cs="Arial"/>
        </w:rPr>
        <w:t>The Kirby Institute</w:t>
      </w:r>
      <w:r w:rsidR="00DE6A33">
        <w:rPr>
          <w:rFonts w:ascii="Arial" w:hAnsi="Arial" w:cs="Arial"/>
        </w:rPr>
        <w:t>, UNSW Australia, Sydney, NSW, Australia</w:t>
      </w:r>
      <w:r w:rsidR="003C23B1">
        <w:rPr>
          <w:rFonts w:ascii="Arial" w:hAnsi="Arial" w:cs="Arial"/>
        </w:rPr>
        <w:t xml:space="preserve"> </w:t>
      </w:r>
      <w:r w:rsidR="003C23B1">
        <w:rPr>
          <w:rFonts w:ascii="Arial" w:hAnsi="Arial" w:cs="Arial"/>
          <w:vertAlign w:val="superscript"/>
        </w:rPr>
        <w:t>2</w:t>
      </w:r>
      <w:r w:rsidR="003C23B1" w:rsidRPr="003C23B1">
        <w:rPr>
          <w:rFonts w:ascii="Arial" w:hAnsi="Arial" w:cs="Arial"/>
        </w:rPr>
        <w:t>Center for HIV and Hepatogastroenterology</w:t>
      </w:r>
      <w:r w:rsidR="00DE6A33">
        <w:rPr>
          <w:rFonts w:ascii="Arial" w:hAnsi="Arial" w:cs="Arial"/>
        </w:rPr>
        <w:t xml:space="preserve">, </w:t>
      </w:r>
      <w:r w:rsidR="00DE6A33" w:rsidRPr="00DE6A33">
        <w:rPr>
          <w:rFonts w:ascii="Arial" w:hAnsi="Arial" w:cs="Arial"/>
        </w:rPr>
        <w:t>Duesseldorf</w:t>
      </w:r>
      <w:r w:rsidR="00DE6A33">
        <w:rPr>
          <w:rFonts w:ascii="Arial" w:hAnsi="Arial" w:cs="Arial"/>
        </w:rPr>
        <w:t xml:space="preserve">, </w:t>
      </w:r>
      <w:r w:rsidR="00DE6A33" w:rsidRPr="00DE6A33">
        <w:rPr>
          <w:rFonts w:ascii="Arial" w:hAnsi="Arial" w:cs="Arial"/>
        </w:rPr>
        <w:t>Germany</w:t>
      </w:r>
      <w:r w:rsidR="0063650B">
        <w:rPr>
          <w:rFonts w:ascii="Arial" w:hAnsi="Arial" w:cs="Arial"/>
        </w:rPr>
        <w:t xml:space="preserve"> </w:t>
      </w:r>
      <w:r w:rsidR="00DE6A33" w:rsidRPr="00DE6A33">
        <w:rPr>
          <w:rFonts w:ascii="Arial" w:hAnsi="Arial" w:cs="Arial"/>
        </w:rPr>
        <w:t xml:space="preserve"> </w:t>
      </w:r>
      <w:r w:rsidR="00DE6A33">
        <w:rPr>
          <w:rFonts w:ascii="Arial" w:hAnsi="Arial" w:cs="Arial"/>
          <w:vertAlign w:val="superscript"/>
        </w:rPr>
        <w:t>3</w:t>
      </w:r>
      <w:r w:rsidR="00DE6A33" w:rsidRPr="00DE6A33">
        <w:rPr>
          <w:rFonts w:ascii="Arial" w:hAnsi="Arial" w:cs="Arial"/>
        </w:rPr>
        <w:t xml:space="preserve">Liver Unit, Department of Medicine, St Mary’s Hospital, </w:t>
      </w:r>
      <w:r w:rsidR="00DE6A33">
        <w:rPr>
          <w:rFonts w:ascii="Arial" w:hAnsi="Arial" w:cs="Arial"/>
        </w:rPr>
        <w:t xml:space="preserve">London, United Kingdom </w:t>
      </w:r>
      <w:r w:rsidR="0063650B">
        <w:rPr>
          <w:rFonts w:ascii="Arial" w:hAnsi="Arial" w:cs="Arial"/>
          <w:vertAlign w:val="superscript"/>
        </w:rPr>
        <w:t>4</w:t>
      </w:r>
      <w:r w:rsidR="0063650B" w:rsidRPr="0063650B">
        <w:rPr>
          <w:rFonts w:ascii="Arial" w:hAnsi="Arial" w:cs="Arial"/>
        </w:rPr>
        <w:t xml:space="preserve">Azienda </w:t>
      </w:r>
      <w:proofErr w:type="spellStart"/>
      <w:r w:rsidR="0063650B" w:rsidRPr="0063650B">
        <w:rPr>
          <w:rFonts w:ascii="Arial" w:hAnsi="Arial" w:cs="Arial"/>
        </w:rPr>
        <w:t>Ospedaliera</w:t>
      </w:r>
      <w:proofErr w:type="spellEnd"/>
      <w:r w:rsidR="0063650B" w:rsidRPr="0063650B">
        <w:rPr>
          <w:rFonts w:ascii="Arial" w:hAnsi="Arial" w:cs="Arial"/>
        </w:rPr>
        <w:t xml:space="preserve"> </w:t>
      </w:r>
      <w:proofErr w:type="spellStart"/>
      <w:r w:rsidR="0063650B" w:rsidRPr="0063650B">
        <w:rPr>
          <w:rFonts w:ascii="Arial" w:hAnsi="Arial" w:cs="Arial"/>
        </w:rPr>
        <w:t>Ospedale</w:t>
      </w:r>
      <w:proofErr w:type="spellEnd"/>
      <w:r w:rsidR="0063650B" w:rsidRPr="0063650B">
        <w:rPr>
          <w:rFonts w:ascii="Arial" w:hAnsi="Arial" w:cs="Arial"/>
        </w:rPr>
        <w:t xml:space="preserve"> </w:t>
      </w:r>
      <w:proofErr w:type="spellStart"/>
      <w:r w:rsidR="0063650B" w:rsidRPr="0063650B">
        <w:rPr>
          <w:rFonts w:ascii="Arial" w:hAnsi="Arial" w:cs="Arial"/>
        </w:rPr>
        <w:t>Niguarda</w:t>
      </w:r>
      <w:proofErr w:type="spellEnd"/>
      <w:r w:rsidR="0063650B" w:rsidRPr="0063650B">
        <w:rPr>
          <w:rFonts w:ascii="Arial" w:hAnsi="Arial" w:cs="Arial"/>
        </w:rPr>
        <w:t xml:space="preserve"> Ca’ </w:t>
      </w:r>
      <w:proofErr w:type="spellStart"/>
      <w:r w:rsidR="0063650B" w:rsidRPr="0063650B">
        <w:rPr>
          <w:rFonts w:ascii="Arial" w:hAnsi="Arial" w:cs="Arial"/>
        </w:rPr>
        <w:t>Granda</w:t>
      </w:r>
      <w:proofErr w:type="spellEnd"/>
      <w:r w:rsidR="0063650B" w:rsidRPr="0063650B">
        <w:rPr>
          <w:rFonts w:ascii="Arial" w:hAnsi="Arial" w:cs="Arial"/>
        </w:rPr>
        <w:t>, Milan</w:t>
      </w:r>
      <w:r w:rsidR="00DE6A33">
        <w:rPr>
          <w:rFonts w:ascii="Arial" w:hAnsi="Arial" w:cs="Arial"/>
        </w:rPr>
        <w:t>, Italy</w:t>
      </w:r>
      <w:r w:rsidR="0063650B" w:rsidRPr="0063650B">
        <w:rPr>
          <w:rFonts w:ascii="Arial" w:hAnsi="Arial" w:cs="Arial"/>
        </w:rPr>
        <w:t xml:space="preserve"> </w:t>
      </w:r>
      <w:r w:rsidR="003C23B1">
        <w:rPr>
          <w:rFonts w:ascii="Arial" w:hAnsi="Arial" w:cs="Arial"/>
          <w:vertAlign w:val="superscript"/>
        </w:rPr>
        <w:t>5</w:t>
      </w:r>
      <w:r w:rsidR="00B47ECF" w:rsidRPr="00B47ECF">
        <w:rPr>
          <w:rFonts w:ascii="Arial" w:hAnsi="Arial" w:cs="Arial"/>
        </w:rPr>
        <w:t>Sou</w:t>
      </w:r>
      <w:r w:rsidR="00B47ECF">
        <w:rPr>
          <w:rFonts w:ascii="Arial" w:hAnsi="Arial" w:cs="Arial"/>
        </w:rPr>
        <w:t>thwest CARE Center, Santa Fe, New Mexico</w:t>
      </w:r>
      <w:r w:rsidR="00DE6A33">
        <w:rPr>
          <w:rFonts w:ascii="Arial" w:hAnsi="Arial" w:cs="Arial"/>
        </w:rPr>
        <w:t xml:space="preserve">, USA </w:t>
      </w:r>
      <w:r w:rsidR="00DE6A33">
        <w:rPr>
          <w:rFonts w:ascii="Arial" w:hAnsi="Arial" w:cs="Arial"/>
          <w:vertAlign w:val="superscript"/>
        </w:rPr>
        <w:t>6</w:t>
      </w:r>
      <w:r w:rsidR="00DE6A33" w:rsidRPr="00DE6A33">
        <w:rPr>
          <w:rFonts w:ascii="Arial" w:hAnsi="Arial" w:cs="Arial"/>
        </w:rPr>
        <w:t>Division of Infectious Diseases</w:t>
      </w:r>
      <w:r w:rsidR="00DE6A33">
        <w:rPr>
          <w:rFonts w:ascii="Arial" w:hAnsi="Arial" w:cs="Arial"/>
        </w:rPr>
        <w:t xml:space="preserve"> </w:t>
      </w:r>
      <w:r w:rsidR="00DE6A33" w:rsidRPr="00DE6A33">
        <w:rPr>
          <w:rFonts w:ascii="Arial" w:hAnsi="Arial" w:cs="Arial"/>
        </w:rPr>
        <w:t>University of California, San Diego</w:t>
      </w:r>
      <w:r w:rsidR="00DE6A33">
        <w:rPr>
          <w:rFonts w:ascii="Arial" w:hAnsi="Arial" w:cs="Arial"/>
        </w:rPr>
        <w:t xml:space="preserve">, USA </w:t>
      </w:r>
      <w:r w:rsidR="0063650B">
        <w:rPr>
          <w:rFonts w:ascii="Arial" w:hAnsi="Arial" w:cs="Arial"/>
          <w:vertAlign w:val="superscript"/>
        </w:rPr>
        <w:t>7</w:t>
      </w:r>
      <w:r w:rsidR="0063650B" w:rsidRPr="0063650B">
        <w:rPr>
          <w:rFonts w:ascii="Arial" w:hAnsi="Arial" w:cs="Arial"/>
        </w:rPr>
        <w:t>Gilead</w:t>
      </w:r>
      <w:r w:rsidR="00DE6A33">
        <w:rPr>
          <w:rFonts w:ascii="Arial" w:hAnsi="Arial" w:cs="Arial"/>
        </w:rPr>
        <w:t xml:space="preserve"> </w:t>
      </w:r>
      <w:r w:rsidR="0063650B" w:rsidRPr="0063650B">
        <w:rPr>
          <w:rFonts w:ascii="Arial" w:hAnsi="Arial" w:cs="Arial"/>
        </w:rPr>
        <w:t>Sciences, Foster City</w:t>
      </w:r>
      <w:r w:rsidR="00DE6A33">
        <w:rPr>
          <w:rFonts w:ascii="Arial" w:hAnsi="Arial" w:cs="Arial"/>
        </w:rPr>
        <w:t>, USA</w:t>
      </w:r>
      <w:r w:rsidR="00417A02">
        <w:rPr>
          <w:rFonts w:ascii="Arial" w:hAnsi="Arial" w:cs="Arial"/>
        </w:rPr>
        <w:t>.</w:t>
      </w:r>
    </w:p>
    <w:p w:rsidR="00674D9A" w:rsidRDefault="00674D9A" w:rsidP="0063650B">
      <w:pPr>
        <w:autoSpaceDE w:val="0"/>
        <w:autoSpaceDN w:val="0"/>
        <w:adjustRightInd w:val="0"/>
        <w:rPr>
          <w:rFonts w:ascii="Arial" w:hAnsi="Arial" w:cs="Arial"/>
        </w:rPr>
      </w:pPr>
    </w:p>
    <w:p w:rsidR="001172E2" w:rsidRDefault="00435EA5" w:rsidP="001172E2">
      <w:pPr>
        <w:rPr>
          <w:rFonts w:ascii="Arial" w:hAnsi="Arial" w:cs="Arial"/>
        </w:rPr>
      </w:pPr>
      <w:r w:rsidRPr="0004301C">
        <w:rPr>
          <w:rFonts w:ascii="Arial" w:hAnsi="Arial" w:cs="Arial"/>
          <w:b/>
        </w:rPr>
        <w:t>Introduction:</w:t>
      </w:r>
      <w:r w:rsidR="00786E57">
        <w:rPr>
          <w:rFonts w:ascii="Arial" w:hAnsi="Arial" w:cs="Arial"/>
          <w:b/>
        </w:rPr>
        <w:t xml:space="preserve"> </w:t>
      </w:r>
      <w:r w:rsidR="001172E2">
        <w:rPr>
          <w:rFonts w:ascii="Arial" w:hAnsi="Arial" w:cs="Arial"/>
        </w:rPr>
        <w:t xml:space="preserve">Although interferon (IFN)-based therapy has been shown to be safe and effective among people receiving opiate substitution therapy (OST), treatment uptake remains low due to poor tolerability to IFN. The aim of this study was to compare the safety and efficacy of IFN-free ledipasvir (LDV) and sofosbuvir (SOF) </w:t>
      </w:r>
      <w:r w:rsidR="001172E2">
        <w:rPr>
          <w:rFonts w:ascii="Arial" w:hAnsi="Arial" w:cs="Arial"/>
          <w:color w:val="000000"/>
        </w:rPr>
        <w:t>± ribavirin (RBV) among patients rec</w:t>
      </w:r>
      <w:bookmarkStart w:id="0" w:name="_GoBack"/>
      <w:bookmarkEnd w:id="0"/>
      <w:r w:rsidR="001172E2">
        <w:rPr>
          <w:rFonts w:ascii="Arial" w:hAnsi="Arial" w:cs="Arial"/>
          <w:color w:val="000000"/>
        </w:rPr>
        <w:t>eiving and not receiving OST enrolled in the Phase III ION studies</w:t>
      </w:r>
      <w:r w:rsidR="001172E2">
        <w:rPr>
          <w:rFonts w:ascii="Arial" w:hAnsi="Arial" w:cs="Arial"/>
        </w:rPr>
        <w:t>.</w:t>
      </w:r>
    </w:p>
    <w:p w:rsidR="00435EA5" w:rsidRPr="0004301C" w:rsidRDefault="00435EA5">
      <w:pPr>
        <w:rPr>
          <w:rFonts w:ascii="Arial" w:hAnsi="Arial" w:cs="Arial"/>
        </w:rPr>
      </w:pPr>
    </w:p>
    <w:p w:rsidR="001172E2" w:rsidRDefault="00435EA5" w:rsidP="001172E2">
      <w:pPr>
        <w:rPr>
          <w:rFonts w:ascii="Arial" w:hAnsi="Arial" w:cs="Arial"/>
          <w:color w:val="000000"/>
        </w:rPr>
      </w:pPr>
      <w:r w:rsidRPr="0004301C">
        <w:rPr>
          <w:rFonts w:ascii="Arial" w:hAnsi="Arial" w:cs="Arial"/>
          <w:b/>
        </w:rPr>
        <w:t>Methods:</w:t>
      </w:r>
      <w:r w:rsidR="00786E57">
        <w:rPr>
          <w:rFonts w:ascii="Arial" w:hAnsi="Arial" w:cs="Arial"/>
          <w:b/>
        </w:rPr>
        <w:t xml:space="preserve"> </w:t>
      </w:r>
      <w:r w:rsidR="001172E2">
        <w:rPr>
          <w:rFonts w:ascii="Arial" w:hAnsi="Arial" w:cs="Arial"/>
          <w:color w:val="000000"/>
        </w:rPr>
        <w:t>T</w:t>
      </w:r>
      <w:r w:rsidR="001172E2" w:rsidRPr="00B900C1">
        <w:rPr>
          <w:rFonts w:ascii="Arial" w:hAnsi="Arial" w:cs="Arial"/>
          <w:color w:val="000000"/>
        </w:rPr>
        <w:t xml:space="preserve">he </w:t>
      </w:r>
      <w:r w:rsidR="001172E2">
        <w:rPr>
          <w:rFonts w:ascii="Arial" w:hAnsi="Arial" w:cs="Arial"/>
          <w:color w:val="000000"/>
        </w:rPr>
        <w:t>Phase III ION studies evaluated a fixed-dose combination of LDV/SOF administered for 8, 12, or 24 weeks ± RBV in patients with chronic HCV genotype 1 and included patients who were treatment experienced and with compensated cirrhosis. People with active injecting drug use at baseline were not eligible for inclusion. Safety and efficacy, as measured by SVR12, were compared between those receiving and not receiving OST</w:t>
      </w:r>
    </w:p>
    <w:p w:rsidR="00435EA5" w:rsidRPr="0004301C" w:rsidRDefault="00435EA5" w:rsidP="00435EA5">
      <w:pPr>
        <w:rPr>
          <w:rFonts w:ascii="Arial" w:hAnsi="Arial" w:cs="Arial"/>
        </w:rPr>
      </w:pPr>
    </w:p>
    <w:p w:rsidR="00435EA5" w:rsidRPr="0004301C" w:rsidRDefault="00435EA5" w:rsidP="00435EA5">
      <w:pPr>
        <w:rPr>
          <w:rFonts w:ascii="Arial" w:hAnsi="Arial" w:cs="Arial"/>
        </w:rPr>
      </w:pPr>
      <w:r w:rsidRPr="0004301C">
        <w:rPr>
          <w:rFonts w:ascii="Arial" w:hAnsi="Arial" w:cs="Arial"/>
          <w:b/>
        </w:rPr>
        <w:t>Results:</w:t>
      </w:r>
      <w:r w:rsidR="00786E57">
        <w:rPr>
          <w:rFonts w:ascii="Arial" w:hAnsi="Arial" w:cs="Arial"/>
          <w:b/>
        </w:rPr>
        <w:t xml:space="preserve"> </w:t>
      </w:r>
      <w:r w:rsidR="001172E2">
        <w:rPr>
          <w:rFonts w:ascii="Arial" w:hAnsi="Arial" w:cs="Arial"/>
        </w:rPr>
        <w:t>Among 1952 patients enrolled in the ION studies, 4% (n=70) were receiving OST. Among people receiving OST (mean age 47 years), 69%</w:t>
      </w:r>
      <w:r w:rsidR="001172E2" w:rsidRPr="000E5C50">
        <w:rPr>
          <w:rFonts w:ascii="Arial" w:hAnsi="Arial" w:cs="Arial"/>
        </w:rPr>
        <w:t xml:space="preserve"> </w:t>
      </w:r>
      <w:r w:rsidR="001172E2">
        <w:rPr>
          <w:rFonts w:ascii="Arial" w:hAnsi="Arial" w:cs="Arial"/>
        </w:rPr>
        <w:t xml:space="preserve">were </w:t>
      </w:r>
      <w:r w:rsidR="001172E2" w:rsidRPr="000E5C50">
        <w:rPr>
          <w:rFonts w:ascii="Arial" w:hAnsi="Arial" w:cs="Arial"/>
        </w:rPr>
        <w:t>male</w:t>
      </w:r>
      <w:r w:rsidR="001172E2">
        <w:rPr>
          <w:rFonts w:ascii="Arial" w:hAnsi="Arial" w:cs="Arial"/>
        </w:rPr>
        <w:t>, 90%</w:t>
      </w:r>
      <w:r w:rsidR="001172E2" w:rsidRPr="000E5C50">
        <w:rPr>
          <w:rFonts w:ascii="Arial" w:hAnsi="Arial" w:cs="Arial"/>
        </w:rPr>
        <w:t xml:space="preserve"> </w:t>
      </w:r>
      <w:r w:rsidR="001172E2">
        <w:rPr>
          <w:rFonts w:ascii="Arial" w:hAnsi="Arial" w:cs="Arial"/>
        </w:rPr>
        <w:t>white, 89% t</w:t>
      </w:r>
      <w:r w:rsidR="001172E2" w:rsidRPr="000E5C50">
        <w:rPr>
          <w:rFonts w:ascii="Arial" w:hAnsi="Arial" w:cs="Arial"/>
        </w:rPr>
        <w:t>reatment naive,</w:t>
      </w:r>
      <w:r w:rsidR="001172E2">
        <w:rPr>
          <w:rFonts w:ascii="Arial" w:hAnsi="Arial" w:cs="Arial"/>
        </w:rPr>
        <w:t xml:space="preserve"> and</w:t>
      </w:r>
      <w:r w:rsidR="001172E2" w:rsidRPr="000E5C50">
        <w:rPr>
          <w:rFonts w:ascii="Arial" w:hAnsi="Arial" w:cs="Arial"/>
        </w:rPr>
        <w:t xml:space="preserve"> </w:t>
      </w:r>
      <w:r w:rsidR="001172E2" w:rsidRPr="00E76F36">
        <w:rPr>
          <w:rFonts w:ascii="Arial" w:hAnsi="Arial" w:cs="Arial"/>
        </w:rPr>
        <w:t>10%</w:t>
      </w:r>
      <w:r w:rsidR="001172E2">
        <w:rPr>
          <w:rFonts w:ascii="Arial" w:hAnsi="Arial" w:cs="Arial"/>
        </w:rPr>
        <w:t xml:space="preserve"> had cirrhosis. Overall S</w:t>
      </w:r>
      <w:r w:rsidR="001172E2" w:rsidRPr="00B65218">
        <w:rPr>
          <w:rFonts w:ascii="Arial" w:hAnsi="Arial" w:cs="Arial"/>
        </w:rPr>
        <w:t xml:space="preserve">VR12 rates </w:t>
      </w:r>
      <w:r w:rsidR="001172E2">
        <w:rPr>
          <w:rFonts w:ascii="Arial" w:hAnsi="Arial" w:cs="Arial"/>
        </w:rPr>
        <w:t>were comparable between people receiving and not receiving OST (94% vs. 97%, p=0.244). There was no benefit with the addition of RBV (SVR12 97% in both groups).</w:t>
      </w:r>
      <w:r w:rsidR="001172E2" w:rsidRPr="000607D1">
        <w:rPr>
          <w:rFonts w:ascii="Arial" w:hAnsi="Arial" w:cs="Arial"/>
        </w:rPr>
        <w:t xml:space="preserve"> </w:t>
      </w:r>
      <w:r w:rsidR="001172E2" w:rsidRPr="004C7453">
        <w:rPr>
          <w:rFonts w:ascii="Arial" w:hAnsi="Arial" w:cs="Arial"/>
        </w:rPr>
        <w:t>Treatment was well-tolerated</w:t>
      </w:r>
      <w:r w:rsidR="001172E2">
        <w:rPr>
          <w:rFonts w:ascii="Arial" w:hAnsi="Arial" w:cs="Arial"/>
        </w:rPr>
        <w:t xml:space="preserve"> among people receiving OST with n</w:t>
      </w:r>
      <w:r w:rsidR="001172E2" w:rsidRPr="004C7453">
        <w:rPr>
          <w:rFonts w:ascii="Arial" w:hAnsi="Arial" w:cs="Arial"/>
        </w:rPr>
        <w:t>o patients d</w:t>
      </w:r>
      <w:r w:rsidR="001172E2">
        <w:rPr>
          <w:rFonts w:ascii="Arial" w:hAnsi="Arial" w:cs="Arial"/>
        </w:rPr>
        <w:t>iscontinuing treatment</w:t>
      </w:r>
      <w:r w:rsidR="001172E2" w:rsidRPr="004C7453">
        <w:rPr>
          <w:rFonts w:ascii="Arial" w:hAnsi="Arial" w:cs="Arial"/>
        </w:rPr>
        <w:t>.</w:t>
      </w:r>
      <w:r w:rsidR="001172E2">
        <w:rPr>
          <w:rFonts w:ascii="Arial" w:hAnsi="Arial" w:cs="Arial"/>
        </w:rPr>
        <w:t xml:space="preserve"> Following the end of treatment, there have been no cases of HCV reinfection among people receiving OST.</w:t>
      </w:r>
    </w:p>
    <w:p w:rsidR="0063650B" w:rsidRDefault="0063650B" w:rsidP="00435EA5">
      <w:pPr>
        <w:rPr>
          <w:rFonts w:ascii="Arial" w:hAnsi="Arial" w:cs="Arial"/>
          <w:b/>
        </w:rPr>
      </w:pPr>
    </w:p>
    <w:p w:rsidR="001172E2" w:rsidRDefault="00435EA5" w:rsidP="001172E2">
      <w:pPr>
        <w:rPr>
          <w:rFonts w:ascii="Arial" w:hAnsi="Arial" w:cs="Arial"/>
        </w:rPr>
      </w:pPr>
      <w:r w:rsidRPr="0004301C">
        <w:rPr>
          <w:rFonts w:ascii="Arial" w:hAnsi="Arial" w:cs="Arial"/>
          <w:b/>
        </w:rPr>
        <w:t>Conclusion:</w:t>
      </w:r>
      <w:r w:rsidR="00786E57">
        <w:rPr>
          <w:rFonts w:ascii="Arial" w:hAnsi="Arial" w:cs="Arial"/>
          <w:b/>
        </w:rPr>
        <w:t xml:space="preserve"> </w:t>
      </w:r>
      <w:r w:rsidR="001172E2">
        <w:rPr>
          <w:rFonts w:ascii="Arial" w:hAnsi="Arial" w:cs="Arial"/>
        </w:rPr>
        <w:t>Patients receiving OST achieve high and comparable response rates compared with those not receiving</w:t>
      </w:r>
      <w:r w:rsidR="001172E2" w:rsidRPr="00966868">
        <w:rPr>
          <w:rFonts w:ascii="Arial" w:hAnsi="Arial" w:cs="Arial"/>
        </w:rPr>
        <w:t xml:space="preserve"> OST.</w:t>
      </w:r>
      <w:r w:rsidR="001172E2">
        <w:rPr>
          <w:rFonts w:ascii="Arial" w:hAnsi="Arial" w:cs="Arial"/>
        </w:rPr>
        <w:t xml:space="preserve"> A</w:t>
      </w:r>
      <w:r w:rsidR="001172E2" w:rsidRPr="00966868">
        <w:rPr>
          <w:rFonts w:ascii="Arial" w:hAnsi="Arial" w:cs="Arial"/>
        </w:rPr>
        <w:t xml:space="preserve">dverse events and discontinuations </w:t>
      </w:r>
      <w:r w:rsidR="001172E2">
        <w:rPr>
          <w:rFonts w:ascii="Arial" w:hAnsi="Arial" w:cs="Arial"/>
        </w:rPr>
        <w:t xml:space="preserve">were low. LDV/SOF offers patients an interferon-free single tablet regimen which can be completed in as little as 8-24 weeks. </w:t>
      </w:r>
    </w:p>
    <w:p w:rsidR="00435EA5" w:rsidRPr="00D755F5" w:rsidRDefault="00435EA5" w:rsidP="00435EA5">
      <w:pPr>
        <w:rPr>
          <w:rFonts w:ascii="Arial" w:hAnsi="Arial" w:cs="Arial"/>
        </w:rPr>
      </w:pPr>
    </w:p>
    <w:p w:rsidR="00D755F5" w:rsidRPr="00D755F5" w:rsidRDefault="00D755F5" w:rsidP="00786E57">
      <w:pPr>
        <w:autoSpaceDE w:val="0"/>
        <w:autoSpaceDN w:val="0"/>
        <w:adjustRightInd w:val="0"/>
        <w:rPr>
          <w:rFonts w:ascii="Arial" w:hAnsi="Arial" w:cs="Arial"/>
        </w:rPr>
      </w:pPr>
      <w:r w:rsidRPr="00D755F5">
        <w:rPr>
          <w:rFonts w:ascii="Arial" w:hAnsi="Arial" w:cs="Arial"/>
          <w:b/>
          <w:color w:val="000000"/>
        </w:rPr>
        <w:t>Disclosure of Interest Statement:</w:t>
      </w:r>
      <w:r w:rsidR="00786E57">
        <w:rPr>
          <w:rFonts w:ascii="Arial" w:hAnsi="Arial" w:cs="Arial"/>
          <w:b/>
          <w:color w:val="000000"/>
        </w:rPr>
        <w:t xml:space="preserve"> </w:t>
      </w:r>
      <w:r w:rsidR="00674D9A">
        <w:rPr>
          <w:rStyle w:val="bodytext"/>
          <w:rFonts w:ascii="Arial" w:hAnsi="Arial" w:cs="Arial"/>
          <w:color w:val="000000"/>
        </w:rPr>
        <w:t xml:space="preserve">This study was funded </w:t>
      </w:r>
      <w:r w:rsidR="0063650B">
        <w:rPr>
          <w:rStyle w:val="bodytext"/>
          <w:rFonts w:ascii="Arial" w:hAnsi="Arial" w:cs="Arial"/>
          <w:color w:val="000000"/>
        </w:rPr>
        <w:t xml:space="preserve">by Gilead Sciences. </w:t>
      </w:r>
    </w:p>
    <w:p w:rsidR="00435EA5" w:rsidRPr="00435EA5" w:rsidRDefault="00435EA5">
      <w:pPr>
        <w:rPr>
          <w:rFonts w:ascii="Arial" w:hAnsi="Arial" w:cs="Arial"/>
          <w:sz w:val="22"/>
          <w:szCs w:val="22"/>
        </w:rPr>
      </w:pPr>
    </w:p>
    <w:sectPr w:rsidR="00435EA5" w:rsidRPr="00435EA5"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81" w:rsidRDefault="00E03781" w:rsidP="006303EA">
      <w:r>
        <w:separator/>
      </w:r>
    </w:p>
  </w:endnote>
  <w:endnote w:type="continuationSeparator" w:id="0">
    <w:p w:rsidR="00E03781" w:rsidRDefault="00E03781"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81" w:rsidRDefault="00E03781" w:rsidP="006303EA">
      <w:r>
        <w:separator/>
      </w:r>
    </w:p>
  </w:footnote>
  <w:footnote w:type="continuationSeparator" w:id="0">
    <w:p w:rsidR="00E03781" w:rsidRDefault="00E03781"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A1810"/>
    <w:rsid w:val="001172E2"/>
    <w:rsid w:val="001731BA"/>
    <w:rsid w:val="00254C5A"/>
    <w:rsid w:val="003C23B1"/>
    <w:rsid w:val="00417A02"/>
    <w:rsid w:val="00435EA5"/>
    <w:rsid w:val="00456B46"/>
    <w:rsid w:val="006303EA"/>
    <w:rsid w:val="0063650B"/>
    <w:rsid w:val="00674D9A"/>
    <w:rsid w:val="006D4409"/>
    <w:rsid w:val="00753449"/>
    <w:rsid w:val="00786E57"/>
    <w:rsid w:val="00917C83"/>
    <w:rsid w:val="00B05B1B"/>
    <w:rsid w:val="00B32CC1"/>
    <w:rsid w:val="00B45670"/>
    <w:rsid w:val="00B47ECF"/>
    <w:rsid w:val="00C30437"/>
    <w:rsid w:val="00C53098"/>
    <w:rsid w:val="00D755F5"/>
    <w:rsid w:val="00DE6A33"/>
    <w:rsid w:val="00E03781"/>
    <w:rsid w:val="00F04EC5"/>
    <w:rsid w:val="00F72C07"/>
    <w:rsid w:val="00FA408B"/>
    <w:rsid w:val="00FE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806">
      <w:bodyDiv w:val="1"/>
      <w:marLeft w:val="0"/>
      <w:marRight w:val="0"/>
      <w:marTop w:val="0"/>
      <w:marBottom w:val="0"/>
      <w:divBdr>
        <w:top w:val="none" w:sz="0" w:space="0" w:color="auto"/>
        <w:left w:val="none" w:sz="0" w:space="0" w:color="auto"/>
        <w:bottom w:val="none" w:sz="0" w:space="0" w:color="auto"/>
        <w:right w:val="none" w:sz="0" w:space="0" w:color="auto"/>
      </w:divBdr>
    </w:div>
    <w:div w:id="122041914">
      <w:bodyDiv w:val="1"/>
      <w:marLeft w:val="0"/>
      <w:marRight w:val="0"/>
      <w:marTop w:val="0"/>
      <w:marBottom w:val="0"/>
      <w:divBdr>
        <w:top w:val="none" w:sz="0" w:space="0" w:color="auto"/>
        <w:left w:val="none" w:sz="0" w:space="0" w:color="auto"/>
        <w:bottom w:val="none" w:sz="0" w:space="0" w:color="auto"/>
        <w:right w:val="none" w:sz="0" w:space="0" w:color="auto"/>
      </w:divBdr>
    </w:div>
    <w:div w:id="606932098">
      <w:bodyDiv w:val="1"/>
      <w:marLeft w:val="0"/>
      <w:marRight w:val="0"/>
      <w:marTop w:val="0"/>
      <w:marBottom w:val="0"/>
      <w:divBdr>
        <w:top w:val="none" w:sz="0" w:space="0" w:color="auto"/>
        <w:left w:val="none" w:sz="0" w:space="0" w:color="auto"/>
        <w:bottom w:val="none" w:sz="0" w:space="0" w:color="auto"/>
        <w:right w:val="none" w:sz="0" w:space="0" w:color="auto"/>
      </w:divBdr>
    </w:div>
    <w:div w:id="652371207">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FF69-341E-4C41-8429-1A0C7693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3</cp:revision>
  <dcterms:created xsi:type="dcterms:W3CDTF">2015-06-24T23:25:00Z</dcterms:created>
  <dcterms:modified xsi:type="dcterms:W3CDTF">2015-06-25T06:06:00Z</dcterms:modified>
</cp:coreProperties>
</file>