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12D8E" w14:textId="0EB964ED" w:rsidR="00677DD2" w:rsidRPr="002B0596" w:rsidRDefault="002B0596" w:rsidP="002B0596">
      <w:pPr>
        <w:rPr>
          <w:rFonts w:ascii="Arial" w:hAnsi="Arial" w:cs="Arial"/>
          <w:b/>
        </w:rPr>
      </w:pPr>
      <w:r w:rsidRPr="002B0596">
        <w:rPr>
          <w:rFonts w:ascii="Arial" w:hAnsi="Arial" w:cs="Arial"/>
          <w:b/>
        </w:rPr>
        <w:t>HOW SHOULD HCV ANTIVIRAL TREATMENT BE PRIORITIZED IN THE DIRECT-ACTING ANTIVIRAL ERA? AN ECONOMIC EVALUATION INCLUDING INDIVIDUAL AND POPULATION PREVENTION BENEFITS</w:t>
      </w:r>
    </w:p>
    <w:p w14:paraId="1F3D7B67" w14:textId="77777777" w:rsidR="00677DD2" w:rsidRPr="008520FA" w:rsidRDefault="00677DD2" w:rsidP="002B0596">
      <w:pPr>
        <w:rPr>
          <w:rFonts w:ascii="Arial" w:hAnsi="Arial" w:cs="Arial"/>
        </w:rPr>
      </w:pPr>
    </w:p>
    <w:p w14:paraId="18FC19F0" w14:textId="796185CD" w:rsidR="00D0334D" w:rsidRPr="008520FA" w:rsidRDefault="00D0334D" w:rsidP="002B0596">
      <w:pPr>
        <w:rPr>
          <w:rFonts w:ascii="Arial" w:hAnsi="Arial" w:cs="Arial"/>
          <w:vertAlign w:val="superscript"/>
        </w:rPr>
      </w:pPr>
      <w:r w:rsidRPr="000B4B6C">
        <w:rPr>
          <w:rFonts w:ascii="Arial" w:hAnsi="Arial" w:cs="Arial"/>
          <w:u w:val="single"/>
        </w:rPr>
        <w:t>Natasha K Martin</w:t>
      </w:r>
      <w:r w:rsidRPr="000B4B6C">
        <w:rPr>
          <w:rFonts w:ascii="Arial" w:hAnsi="Arial" w:cs="Arial"/>
          <w:u w:val="single"/>
          <w:vertAlign w:val="superscript"/>
        </w:rPr>
        <w:t>1</w:t>
      </w:r>
      <w:r>
        <w:rPr>
          <w:rFonts w:ascii="Arial" w:hAnsi="Arial" w:cs="Arial"/>
          <w:vertAlign w:val="superscript"/>
        </w:rPr>
        <w:t>,2</w:t>
      </w:r>
      <w:r w:rsidRPr="008520FA">
        <w:rPr>
          <w:rFonts w:ascii="Arial" w:hAnsi="Arial" w:cs="Arial"/>
        </w:rPr>
        <w:t>, Peter Vickerman</w:t>
      </w:r>
      <w:r>
        <w:rPr>
          <w:rFonts w:ascii="Arial" w:hAnsi="Arial" w:cs="Arial"/>
          <w:vertAlign w:val="superscript"/>
        </w:rPr>
        <w:t>2</w:t>
      </w:r>
      <w:r w:rsidRPr="008520FA">
        <w:rPr>
          <w:rFonts w:ascii="Arial" w:hAnsi="Arial" w:cs="Arial"/>
        </w:rPr>
        <w:t xml:space="preserve">, </w:t>
      </w:r>
      <w:r>
        <w:rPr>
          <w:rFonts w:ascii="Arial" w:hAnsi="Arial" w:cs="Arial"/>
        </w:rPr>
        <w:t>Gregory</w:t>
      </w:r>
      <w:r w:rsidRPr="008520FA">
        <w:rPr>
          <w:rFonts w:ascii="Arial" w:hAnsi="Arial" w:cs="Arial"/>
        </w:rPr>
        <w:t xml:space="preserve"> J Dore</w:t>
      </w:r>
      <w:r>
        <w:rPr>
          <w:rFonts w:ascii="Arial" w:hAnsi="Arial" w:cs="Arial"/>
          <w:vertAlign w:val="superscript"/>
        </w:rPr>
        <w:t>3</w:t>
      </w:r>
      <w:r w:rsidRPr="008520FA">
        <w:rPr>
          <w:rFonts w:ascii="Arial" w:hAnsi="Arial" w:cs="Arial"/>
        </w:rPr>
        <w:t>, Jason Grebely</w:t>
      </w:r>
      <w:r>
        <w:rPr>
          <w:rFonts w:ascii="Arial" w:hAnsi="Arial" w:cs="Arial"/>
          <w:vertAlign w:val="superscript"/>
        </w:rPr>
        <w:t>3</w:t>
      </w:r>
      <w:r w:rsidRPr="008520FA">
        <w:rPr>
          <w:rFonts w:ascii="Arial" w:hAnsi="Arial" w:cs="Arial"/>
        </w:rPr>
        <w:t>, Alec Miners</w:t>
      </w:r>
      <w:r>
        <w:rPr>
          <w:rFonts w:ascii="Arial" w:hAnsi="Arial" w:cs="Arial"/>
          <w:vertAlign w:val="superscript"/>
        </w:rPr>
        <w:t>4</w:t>
      </w:r>
      <w:r w:rsidRPr="008520FA">
        <w:rPr>
          <w:rFonts w:ascii="Arial" w:hAnsi="Arial" w:cs="Arial"/>
        </w:rPr>
        <w:t xml:space="preserve">, </w:t>
      </w:r>
      <w:r>
        <w:rPr>
          <w:rFonts w:ascii="Arial" w:hAnsi="Arial" w:cs="Arial"/>
        </w:rPr>
        <w:t>John Cairns</w:t>
      </w:r>
      <w:r>
        <w:rPr>
          <w:rFonts w:ascii="Arial" w:hAnsi="Arial" w:cs="Arial"/>
          <w:vertAlign w:val="superscript"/>
        </w:rPr>
        <w:t>4</w:t>
      </w:r>
      <w:r>
        <w:rPr>
          <w:rFonts w:ascii="Arial" w:hAnsi="Arial" w:cs="Arial"/>
        </w:rPr>
        <w:t xml:space="preserve">, </w:t>
      </w:r>
      <w:r w:rsidRPr="008520FA">
        <w:rPr>
          <w:rFonts w:ascii="Arial" w:hAnsi="Arial" w:cs="Arial"/>
        </w:rPr>
        <w:t xml:space="preserve">Graham </w:t>
      </w:r>
      <w:r>
        <w:rPr>
          <w:rFonts w:ascii="Arial" w:hAnsi="Arial" w:cs="Arial"/>
        </w:rPr>
        <w:t xml:space="preserve">R </w:t>
      </w:r>
      <w:r w:rsidRPr="008520FA">
        <w:rPr>
          <w:rFonts w:ascii="Arial" w:hAnsi="Arial" w:cs="Arial"/>
        </w:rPr>
        <w:t>Foste</w:t>
      </w:r>
      <w:r>
        <w:rPr>
          <w:rFonts w:ascii="Arial" w:hAnsi="Arial" w:cs="Arial"/>
        </w:rPr>
        <w:t>r</w:t>
      </w:r>
      <w:r>
        <w:rPr>
          <w:rFonts w:ascii="Arial" w:hAnsi="Arial" w:cs="Arial"/>
          <w:vertAlign w:val="superscript"/>
        </w:rPr>
        <w:t>5</w:t>
      </w:r>
      <w:r w:rsidRPr="008520FA">
        <w:rPr>
          <w:rFonts w:ascii="Arial" w:hAnsi="Arial" w:cs="Arial"/>
        </w:rPr>
        <w:t>, Sharon J Hutchinson</w:t>
      </w:r>
      <w:r>
        <w:rPr>
          <w:rFonts w:ascii="Arial" w:hAnsi="Arial" w:cs="Arial"/>
          <w:vertAlign w:val="superscript"/>
        </w:rPr>
        <w:t>6,7</w:t>
      </w:r>
      <w:r w:rsidRPr="008520FA">
        <w:rPr>
          <w:rFonts w:ascii="Arial" w:hAnsi="Arial" w:cs="Arial"/>
        </w:rPr>
        <w:t>, David J Goldberg</w:t>
      </w:r>
      <w:r>
        <w:rPr>
          <w:rFonts w:ascii="Arial" w:hAnsi="Arial" w:cs="Arial"/>
          <w:vertAlign w:val="superscript"/>
        </w:rPr>
        <w:t>6,7</w:t>
      </w:r>
      <w:r w:rsidRPr="008520FA">
        <w:rPr>
          <w:rFonts w:ascii="Arial" w:hAnsi="Arial" w:cs="Arial"/>
        </w:rPr>
        <w:t xml:space="preserve">, </w:t>
      </w:r>
      <w:r>
        <w:rPr>
          <w:rFonts w:ascii="Arial" w:hAnsi="Arial" w:cs="Arial"/>
        </w:rPr>
        <w:t>Thomas CS Martin</w:t>
      </w:r>
      <w:r>
        <w:rPr>
          <w:rFonts w:ascii="Arial" w:hAnsi="Arial" w:cs="Arial"/>
          <w:vertAlign w:val="superscript"/>
        </w:rPr>
        <w:t>8</w:t>
      </w:r>
      <w:r>
        <w:rPr>
          <w:rFonts w:ascii="Arial" w:hAnsi="Arial" w:cs="Arial"/>
        </w:rPr>
        <w:t>, Mary Ramsay</w:t>
      </w:r>
      <w:r>
        <w:rPr>
          <w:rFonts w:ascii="Arial" w:hAnsi="Arial" w:cs="Arial"/>
          <w:vertAlign w:val="superscript"/>
        </w:rPr>
        <w:t>9</w:t>
      </w:r>
      <w:r>
        <w:rPr>
          <w:rFonts w:ascii="Arial" w:hAnsi="Arial" w:cs="Arial"/>
        </w:rPr>
        <w:t>, the STOP-HCV Consortium*</w:t>
      </w:r>
      <w:r>
        <w:t xml:space="preserve">, </w:t>
      </w:r>
      <w:r w:rsidRPr="00F74BB7">
        <w:rPr>
          <w:rFonts w:ascii="Arial" w:hAnsi="Arial" w:cs="Arial"/>
        </w:rPr>
        <w:t>Matthew Hickman</w:t>
      </w:r>
      <w:r w:rsidRPr="009B0A57">
        <w:rPr>
          <w:rFonts w:ascii="Arial" w:hAnsi="Arial" w:cs="Arial"/>
          <w:vertAlign w:val="superscript"/>
        </w:rPr>
        <w:t>1</w:t>
      </w:r>
    </w:p>
    <w:p w14:paraId="1A7BBF37" w14:textId="77777777" w:rsidR="00D0334D" w:rsidRPr="008520FA" w:rsidRDefault="00D0334D" w:rsidP="002B0596">
      <w:pPr>
        <w:rPr>
          <w:rFonts w:ascii="Arial" w:hAnsi="Arial" w:cs="Arial"/>
        </w:rPr>
      </w:pPr>
    </w:p>
    <w:p w14:paraId="18636F35" w14:textId="2D570209" w:rsidR="00D0334D" w:rsidRPr="008520FA" w:rsidRDefault="00D0334D" w:rsidP="002B0596">
      <w:pPr>
        <w:rPr>
          <w:rFonts w:ascii="Arial" w:hAnsi="Arial" w:cs="Arial"/>
        </w:rPr>
      </w:pPr>
      <w:proofErr w:type="gramStart"/>
      <w:r w:rsidRPr="008520FA">
        <w:rPr>
          <w:rFonts w:ascii="Arial" w:hAnsi="Arial" w:cs="Arial"/>
          <w:vertAlign w:val="superscript"/>
        </w:rPr>
        <w:t>1</w:t>
      </w:r>
      <w:r>
        <w:rPr>
          <w:rFonts w:ascii="Arial" w:hAnsi="Arial" w:cs="Arial"/>
        </w:rPr>
        <w:t>Division of Global Public Health, University of California San Diego, San Diego, USA.</w:t>
      </w:r>
      <w:proofErr w:type="gramEnd"/>
      <w:r>
        <w:rPr>
          <w:rFonts w:ascii="Arial" w:hAnsi="Arial" w:cs="Arial"/>
        </w:rPr>
        <w:t xml:space="preserve"> </w:t>
      </w:r>
      <w:proofErr w:type="gramStart"/>
      <w:r w:rsidRPr="00D16988">
        <w:rPr>
          <w:rFonts w:ascii="Arial" w:hAnsi="Arial" w:cs="Arial"/>
          <w:vertAlign w:val="superscript"/>
        </w:rPr>
        <w:t>2</w:t>
      </w:r>
      <w:r>
        <w:rPr>
          <w:rFonts w:ascii="Arial" w:hAnsi="Arial" w:cs="Arial"/>
        </w:rPr>
        <w:t>S</w:t>
      </w:r>
      <w:r w:rsidRPr="008520FA">
        <w:rPr>
          <w:rFonts w:ascii="Arial" w:hAnsi="Arial" w:cs="Arial"/>
        </w:rPr>
        <w:t>chool of Social and Community Medicine, University of Bristol.</w:t>
      </w:r>
      <w:proofErr w:type="gramEnd"/>
      <w:r w:rsidRPr="008520FA">
        <w:rPr>
          <w:rFonts w:ascii="Arial" w:hAnsi="Arial" w:cs="Arial"/>
        </w:rPr>
        <w:t xml:space="preserve"> </w:t>
      </w:r>
      <w:r>
        <w:rPr>
          <w:rFonts w:ascii="Arial" w:hAnsi="Arial" w:cs="Arial"/>
          <w:vertAlign w:val="superscript"/>
        </w:rPr>
        <w:t>3</w:t>
      </w:r>
      <w:r w:rsidRPr="008520FA">
        <w:rPr>
          <w:rFonts w:ascii="Arial" w:hAnsi="Arial" w:cs="Arial"/>
        </w:rPr>
        <w:t xml:space="preserve">Kirby Institute, </w:t>
      </w:r>
      <w:r>
        <w:rPr>
          <w:rFonts w:ascii="Arial" w:hAnsi="Arial" w:cs="Arial"/>
        </w:rPr>
        <w:t>UNSW Australia, Sydney</w:t>
      </w:r>
      <w:r w:rsidRPr="008520FA">
        <w:rPr>
          <w:rFonts w:ascii="Arial" w:hAnsi="Arial" w:cs="Arial"/>
        </w:rPr>
        <w:t xml:space="preserve">. </w:t>
      </w:r>
      <w:proofErr w:type="gramStart"/>
      <w:r>
        <w:rPr>
          <w:rFonts w:ascii="Arial" w:hAnsi="Arial" w:cs="Arial"/>
          <w:vertAlign w:val="superscript"/>
        </w:rPr>
        <w:t>4</w:t>
      </w:r>
      <w:r w:rsidRPr="008520FA">
        <w:rPr>
          <w:rFonts w:ascii="Arial" w:hAnsi="Arial" w:cs="Arial"/>
        </w:rPr>
        <w:t>Faculty of Public Health and Policy, London School of Hygiene and Tropical Medicine.</w:t>
      </w:r>
      <w:proofErr w:type="gramEnd"/>
      <w:r w:rsidRPr="008520FA">
        <w:rPr>
          <w:rFonts w:ascii="Arial" w:hAnsi="Arial" w:cs="Arial"/>
        </w:rPr>
        <w:t xml:space="preserve"> </w:t>
      </w:r>
      <w:r>
        <w:rPr>
          <w:rFonts w:ascii="Arial" w:hAnsi="Arial" w:cs="Arial"/>
          <w:vertAlign w:val="superscript"/>
        </w:rPr>
        <w:t>5</w:t>
      </w:r>
      <w:r w:rsidRPr="008520FA">
        <w:rPr>
          <w:rFonts w:ascii="Arial" w:hAnsi="Arial" w:cs="Arial"/>
        </w:rPr>
        <w:t xml:space="preserve">Queen Mary’s University of London </w:t>
      </w:r>
      <w:r>
        <w:rPr>
          <w:rFonts w:ascii="Arial" w:hAnsi="Arial" w:cs="Arial"/>
          <w:vertAlign w:val="superscript"/>
        </w:rPr>
        <w:t>6</w:t>
      </w:r>
      <w:r>
        <w:rPr>
          <w:rFonts w:ascii="Arial" w:hAnsi="Arial" w:cs="Arial"/>
        </w:rPr>
        <w:t>Glasgow Caledonian University</w:t>
      </w:r>
      <w:r w:rsidRPr="008520FA">
        <w:rPr>
          <w:rFonts w:ascii="Arial" w:hAnsi="Arial" w:cs="Arial"/>
        </w:rPr>
        <w:t xml:space="preserve"> </w:t>
      </w:r>
      <w:r>
        <w:rPr>
          <w:rFonts w:ascii="Arial" w:hAnsi="Arial" w:cs="Arial"/>
          <w:vertAlign w:val="superscript"/>
        </w:rPr>
        <w:t>7</w:t>
      </w:r>
      <w:r w:rsidRPr="008520FA">
        <w:rPr>
          <w:rFonts w:ascii="Arial" w:hAnsi="Arial" w:cs="Arial"/>
        </w:rPr>
        <w:t xml:space="preserve">Health Protection Scotland </w:t>
      </w:r>
      <w:r>
        <w:rPr>
          <w:rFonts w:ascii="Arial" w:hAnsi="Arial" w:cs="Arial"/>
          <w:vertAlign w:val="superscript"/>
        </w:rPr>
        <w:t>8</w:t>
      </w:r>
      <w:r>
        <w:rPr>
          <w:rFonts w:ascii="Arial" w:hAnsi="Arial" w:cs="Arial"/>
        </w:rPr>
        <w:t>Guy’s and St Thomas’s NHS Foundation Trust, London.</w:t>
      </w:r>
      <w:r>
        <w:rPr>
          <w:rFonts w:ascii="Arial" w:hAnsi="Arial" w:cs="Arial"/>
          <w:vertAlign w:val="superscript"/>
        </w:rPr>
        <w:t>9</w:t>
      </w:r>
      <w:r>
        <w:rPr>
          <w:rFonts w:ascii="Arial" w:hAnsi="Arial" w:cs="Arial"/>
        </w:rPr>
        <w:t xml:space="preserve"> Public Health England UK</w:t>
      </w:r>
    </w:p>
    <w:p w14:paraId="70120C7B" w14:textId="77777777" w:rsidR="00677DD2" w:rsidRPr="008520FA" w:rsidRDefault="00677DD2" w:rsidP="002B0596">
      <w:pPr>
        <w:rPr>
          <w:rFonts w:ascii="Arial" w:hAnsi="Arial" w:cs="Arial"/>
        </w:rPr>
      </w:pPr>
    </w:p>
    <w:p w14:paraId="781821D3" w14:textId="5A578DBA" w:rsidR="00D0334D" w:rsidRDefault="00D0334D" w:rsidP="002B0596">
      <w:pPr>
        <w:rPr>
          <w:rFonts w:ascii="Arial" w:hAnsi="Arial" w:cs="Arial"/>
        </w:rPr>
      </w:pPr>
      <w:r>
        <w:rPr>
          <w:rFonts w:ascii="Arial" w:hAnsi="Arial" w:cs="Arial"/>
          <w:b/>
        </w:rPr>
        <w:t>Background</w:t>
      </w:r>
      <w:r w:rsidR="002B0596">
        <w:rPr>
          <w:rFonts w:ascii="Arial" w:hAnsi="Arial" w:cs="Arial"/>
          <w:b/>
        </w:rPr>
        <w:t xml:space="preserve">: </w:t>
      </w:r>
      <w:r>
        <w:rPr>
          <w:rFonts w:ascii="Arial" w:hAnsi="Arial" w:cs="Arial"/>
        </w:rPr>
        <w:t xml:space="preserve">New interferon-free HCV direct-acting antivirals (IFN-free DAAs) can cure &gt;90% of patients but are associated with high costs. International guidelines recommend prioritization by disease severity. We determine the optimal HCV treatment prioritization strategy by disease stage and risk status incorporating treatment of people who inject drugs (PWID) who have a risk of HCV transmission. </w:t>
      </w:r>
    </w:p>
    <w:p w14:paraId="50D68FF1" w14:textId="77777777" w:rsidR="00D0334D" w:rsidRDefault="00D0334D" w:rsidP="002B0596">
      <w:pPr>
        <w:rPr>
          <w:rFonts w:ascii="Arial" w:hAnsi="Arial" w:cs="Arial"/>
          <w:b/>
        </w:rPr>
      </w:pPr>
    </w:p>
    <w:p w14:paraId="525CE6CB" w14:textId="6BE5092F" w:rsidR="00D0334D" w:rsidRPr="00911DFD" w:rsidRDefault="00D0334D" w:rsidP="002B0596">
      <w:pPr>
        <w:rPr>
          <w:rFonts w:ascii="Arial" w:hAnsi="Arial" w:cs="Arial"/>
          <w:lang w:val="en-GB"/>
        </w:rPr>
      </w:pPr>
      <w:r w:rsidRPr="00966675">
        <w:rPr>
          <w:rFonts w:ascii="Arial" w:hAnsi="Arial" w:cs="Arial"/>
          <w:b/>
        </w:rPr>
        <w:t>Methods</w:t>
      </w:r>
      <w:r w:rsidR="002B0596">
        <w:rPr>
          <w:rFonts w:ascii="Arial" w:hAnsi="Arial" w:cs="Arial"/>
          <w:b/>
        </w:rPr>
        <w:t>:</w:t>
      </w:r>
      <w:r>
        <w:rPr>
          <w:rFonts w:ascii="Arial" w:hAnsi="Arial" w:cs="Arial"/>
        </w:rPr>
        <w:t xml:space="preserve"> We use a</w:t>
      </w:r>
      <w:r w:rsidRPr="009D0521">
        <w:rPr>
          <w:rFonts w:ascii="Arial" w:hAnsi="Arial" w:cs="Arial"/>
          <w:lang w:val="en-GB"/>
        </w:rPr>
        <w:t xml:space="preserve"> </w:t>
      </w:r>
      <w:r w:rsidRPr="007B2D97">
        <w:rPr>
          <w:rFonts w:ascii="Arial" w:hAnsi="Arial" w:cs="Arial"/>
          <w:bCs/>
          <w:lang w:val="en-GB"/>
        </w:rPr>
        <w:t>dynamic HCV transmission and progression</w:t>
      </w:r>
      <w:r w:rsidRPr="007B2D97">
        <w:rPr>
          <w:rFonts w:ascii="Arial" w:hAnsi="Arial" w:cs="Arial"/>
          <w:lang w:val="en-GB"/>
        </w:rPr>
        <w:t xml:space="preserve"> </w:t>
      </w:r>
      <w:r w:rsidRPr="007B2D97">
        <w:rPr>
          <w:rFonts w:ascii="Arial" w:hAnsi="Arial" w:cs="Arial"/>
          <w:bCs/>
          <w:lang w:val="en-GB"/>
        </w:rPr>
        <w:t>model</w:t>
      </w:r>
      <w:r>
        <w:rPr>
          <w:rFonts w:ascii="Arial" w:hAnsi="Arial" w:cs="Arial"/>
          <w:bCs/>
          <w:lang w:val="en-GB"/>
        </w:rPr>
        <w:t xml:space="preserve"> to</w:t>
      </w:r>
      <w:r w:rsidRPr="007B2D97">
        <w:rPr>
          <w:rFonts w:ascii="Arial" w:hAnsi="Arial" w:cs="Arial"/>
          <w:lang w:val="en-GB"/>
        </w:rPr>
        <w:t xml:space="preserve"> compare</w:t>
      </w:r>
      <w:r>
        <w:rPr>
          <w:rFonts w:ascii="Arial" w:hAnsi="Arial" w:cs="Arial"/>
          <w:lang w:val="en-GB"/>
        </w:rPr>
        <w:t xml:space="preserve"> the cost-effectiveness of treating patients early vs delaying treatment until cirrhosis for patients with </w:t>
      </w:r>
      <w:r w:rsidRPr="007B2D97">
        <w:rPr>
          <w:rFonts w:ascii="Arial" w:hAnsi="Arial" w:cs="Arial"/>
        </w:rPr>
        <w:t>mild or moderate fibrosis</w:t>
      </w:r>
      <w:r>
        <w:rPr>
          <w:rFonts w:ascii="Arial" w:hAnsi="Arial" w:cs="Arial"/>
        </w:rPr>
        <w:t xml:space="preserve"> and </w:t>
      </w:r>
      <w:r w:rsidRPr="007B2D97">
        <w:rPr>
          <w:rFonts w:ascii="Arial" w:hAnsi="Arial" w:cs="Arial"/>
        </w:rPr>
        <w:t xml:space="preserve">by risk status (PWID </w:t>
      </w:r>
      <w:r>
        <w:rPr>
          <w:rFonts w:ascii="Arial" w:hAnsi="Arial" w:cs="Arial"/>
        </w:rPr>
        <w:t xml:space="preserve">and </w:t>
      </w:r>
      <w:r w:rsidRPr="007B2D97">
        <w:rPr>
          <w:rFonts w:ascii="Arial" w:hAnsi="Arial" w:cs="Arial"/>
        </w:rPr>
        <w:t>o</w:t>
      </w:r>
      <w:r>
        <w:rPr>
          <w:rFonts w:ascii="Arial" w:hAnsi="Arial" w:cs="Arial"/>
        </w:rPr>
        <w:t xml:space="preserve">ther) in settings where PWID chronic HCV prevalence is 20, 40 or 60%). Treatment is for </w:t>
      </w:r>
      <w:r w:rsidRPr="007B2D97">
        <w:rPr>
          <w:rFonts w:ascii="Arial" w:hAnsi="Arial" w:cs="Arial"/>
        </w:rPr>
        <w:t>12 week</w:t>
      </w:r>
      <w:r>
        <w:rPr>
          <w:rFonts w:ascii="Arial" w:hAnsi="Arial" w:cs="Arial"/>
        </w:rPr>
        <w:t>s</w:t>
      </w:r>
      <w:r w:rsidRPr="007B2D97">
        <w:rPr>
          <w:rFonts w:ascii="Arial" w:hAnsi="Arial" w:cs="Arial"/>
        </w:rPr>
        <w:t xml:space="preserve"> </w:t>
      </w:r>
      <w:r>
        <w:rPr>
          <w:rFonts w:ascii="Arial" w:hAnsi="Arial" w:cs="Arial"/>
        </w:rPr>
        <w:t>at £3300/</w:t>
      </w:r>
      <w:proofErr w:type="spellStart"/>
      <w:r>
        <w:rPr>
          <w:rFonts w:ascii="Arial" w:hAnsi="Arial" w:cs="Arial"/>
        </w:rPr>
        <w:t>wk</w:t>
      </w:r>
      <w:proofErr w:type="spellEnd"/>
      <w:r>
        <w:rPr>
          <w:rFonts w:ascii="Arial" w:hAnsi="Arial" w:cs="Arial"/>
        </w:rPr>
        <w:t xml:space="preserve"> and </w:t>
      </w:r>
      <w:r w:rsidRPr="007B2D97">
        <w:rPr>
          <w:rFonts w:ascii="Arial" w:hAnsi="Arial" w:cs="Arial"/>
        </w:rPr>
        <w:t xml:space="preserve">95% </w:t>
      </w:r>
      <w:bookmarkStart w:id="0" w:name="_GoBack"/>
      <w:bookmarkEnd w:id="0"/>
      <w:r>
        <w:rPr>
          <w:rFonts w:ascii="Arial" w:hAnsi="Arial" w:cs="Arial"/>
        </w:rPr>
        <w:t>SVR)</w:t>
      </w:r>
      <w:r w:rsidRPr="007B2D97">
        <w:rPr>
          <w:rFonts w:ascii="Arial" w:hAnsi="Arial" w:cs="Arial"/>
        </w:rPr>
        <w:t xml:space="preserve">. We </w:t>
      </w:r>
      <w:r>
        <w:rPr>
          <w:rFonts w:ascii="Arial" w:hAnsi="Arial" w:cs="Arial"/>
        </w:rPr>
        <w:t xml:space="preserve">estimate </w:t>
      </w:r>
      <w:r w:rsidRPr="007B2D97">
        <w:rPr>
          <w:rFonts w:ascii="Arial" w:hAnsi="Arial" w:cs="Arial"/>
        </w:rPr>
        <w:t xml:space="preserve">long-term </w:t>
      </w:r>
      <w:r>
        <w:rPr>
          <w:rFonts w:ascii="Arial" w:hAnsi="Arial" w:cs="Arial"/>
        </w:rPr>
        <w:t xml:space="preserve">health </w:t>
      </w:r>
      <w:proofErr w:type="gramStart"/>
      <w:r>
        <w:rPr>
          <w:rFonts w:ascii="Arial" w:hAnsi="Arial" w:cs="Arial"/>
        </w:rPr>
        <w:t>costs(</w:t>
      </w:r>
      <w:proofErr w:type="gramEnd"/>
      <w:r>
        <w:rPr>
          <w:rFonts w:ascii="Arial" w:hAnsi="Arial" w:cs="Arial"/>
        </w:rPr>
        <w:t>in £UK=USD$1.5)</w:t>
      </w:r>
      <w:r w:rsidRPr="007B2D97">
        <w:rPr>
          <w:rFonts w:ascii="Arial" w:hAnsi="Arial" w:cs="Arial"/>
        </w:rPr>
        <w:t xml:space="preserve"> and outcomes as qua</w:t>
      </w:r>
      <w:r>
        <w:rPr>
          <w:rFonts w:ascii="Arial" w:hAnsi="Arial" w:cs="Arial"/>
        </w:rPr>
        <w:t>lity adjusted life-years gained</w:t>
      </w:r>
      <w:r w:rsidRPr="007B2D97">
        <w:rPr>
          <w:rFonts w:ascii="Arial" w:hAnsi="Arial" w:cs="Arial"/>
        </w:rPr>
        <w:t>(</w:t>
      </w:r>
      <w:r w:rsidRPr="007B2D97">
        <w:rPr>
          <w:rFonts w:ascii="Arial" w:hAnsi="Arial" w:cs="Arial"/>
          <w:bCs/>
        </w:rPr>
        <w:t>QALYs</w:t>
      </w:r>
      <w:r w:rsidRPr="007B2D97">
        <w:rPr>
          <w:rFonts w:ascii="Arial" w:hAnsi="Arial" w:cs="Arial"/>
        </w:rPr>
        <w:t>)</w:t>
      </w:r>
      <w:r>
        <w:rPr>
          <w:rFonts w:ascii="Arial" w:hAnsi="Arial" w:cs="Arial"/>
        </w:rPr>
        <w:t xml:space="preserve"> using a £20,000 willingness-to-</w:t>
      </w:r>
      <w:r w:rsidRPr="00911DFD">
        <w:rPr>
          <w:rFonts w:ascii="Arial" w:hAnsi="Arial" w:cs="Arial"/>
        </w:rPr>
        <w:t>pay threshold</w:t>
      </w:r>
      <w:r w:rsidRPr="007B2D97">
        <w:rPr>
          <w:rFonts w:ascii="Arial" w:hAnsi="Arial" w:cs="Arial"/>
        </w:rPr>
        <w:t>.</w:t>
      </w:r>
      <w:r w:rsidRPr="007B2D97">
        <w:rPr>
          <w:rFonts w:ascii="Arial" w:hAnsi="Arial" w:cs="Arial"/>
          <w:lang w:val="en-GB"/>
        </w:rPr>
        <w:t xml:space="preserve"> </w:t>
      </w:r>
      <w:r w:rsidRPr="007B2D97">
        <w:rPr>
          <w:rFonts w:ascii="Arial" w:hAnsi="Arial" w:cs="Arial"/>
        </w:rPr>
        <w:t>We rank strategies by calculating</w:t>
      </w:r>
      <w:r>
        <w:rPr>
          <w:rFonts w:ascii="Arial" w:hAnsi="Arial" w:cs="Arial"/>
        </w:rPr>
        <w:t xml:space="preserve"> the</w:t>
      </w:r>
      <w:r w:rsidRPr="007B2D97">
        <w:rPr>
          <w:rFonts w:ascii="Arial" w:hAnsi="Arial" w:cs="Arial"/>
        </w:rPr>
        <w:t xml:space="preserve"> </w:t>
      </w:r>
      <w:r w:rsidRPr="007B2D97">
        <w:rPr>
          <w:rFonts w:ascii="Arial" w:hAnsi="Arial" w:cs="Arial"/>
          <w:bCs/>
        </w:rPr>
        <w:t>Net Monetary Benefit</w:t>
      </w:r>
      <w:r>
        <w:rPr>
          <w:rFonts w:ascii="Arial" w:hAnsi="Arial" w:cs="Arial"/>
        </w:rPr>
        <w:t xml:space="preserve"> (NMB);</w:t>
      </w:r>
      <w:r w:rsidRPr="007B2D97">
        <w:rPr>
          <w:rFonts w:ascii="Arial" w:hAnsi="Arial" w:cs="Arial"/>
          <w:lang w:val="en-GB"/>
        </w:rPr>
        <w:t xml:space="preserve"> </w:t>
      </w:r>
      <w:r>
        <w:rPr>
          <w:rFonts w:ascii="Arial" w:hAnsi="Arial" w:cs="Arial"/>
          <w:lang w:val="en-GB"/>
        </w:rPr>
        <w:t xml:space="preserve">the </w:t>
      </w:r>
      <w:r>
        <w:rPr>
          <w:rFonts w:ascii="Arial" w:hAnsi="Arial" w:cs="Arial"/>
        </w:rPr>
        <w:t>highest</w:t>
      </w:r>
      <w:r w:rsidRPr="007B2D97">
        <w:rPr>
          <w:rFonts w:ascii="Arial" w:hAnsi="Arial" w:cs="Arial"/>
        </w:rPr>
        <w:t xml:space="preserve"> NMB has highest rank</w:t>
      </w:r>
      <w:r>
        <w:rPr>
          <w:rFonts w:ascii="Arial" w:hAnsi="Arial" w:cs="Arial"/>
        </w:rPr>
        <w:t xml:space="preserve">; a negative NMB </w:t>
      </w:r>
      <w:r w:rsidRPr="00911DFD">
        <w:rPr>
          <w:rFonts w:ascii="Arial" w:hAnsi="Arial" w:cs="Arial"/>
        </w:rPr>
        <w:t>implies delay treatment until a later disease stage.</w:t>
      </w:r>
    </w:p>
    <w:p w14:paraId="510ED635" w14:textId="77777777" w:rsidR="00D0334D" w:rsidRDefault="00D0334D" w:rsidP="002B0596">
      <w:pPr>
        <w:rPr>
          <w:rFonts w:ascii="Arial" w:hAnsi="Arial" w:cs="Arial"/>
          <w:b/>
        </w:rPr>
      </w:pPr>
    </w:p>
    <w:p w14:paraId="413C8EA3" w14:textId="4C9E5080" w:rsidR="00D0334D" w:rsidRDefault="00D0334D" w:rsidP="002B0596">
      <w:pPr>
        <w:rPr>
          <w:rFonts w:ascii="Arial" w:hAnsi="Arial" w:cs="Arial"/>
        </w:rPr>
      </w:pPr>
      <w:r w:rsidRPr="00911DFD">
        <w:rPr>
          <w:rFonts w:ascii="Arial" w:hAnsi="Arial" w:cs="Arial"/>
          <w:b/>
        </w:rPr>
        <w:t>Results</w:t>
      </w:r>
      <w:r w:rsidR="002B0596">
        <w:rPr>
          <w:rFonts w:ascii="Arial" w:hAnsi="Arial" w:cs="Arial"/>
          <w:b/>
        </w:rPr>
        <w:t>:</w:t>
      </w:r>
      <w:r w:rsidRPr="00911DFD">
        <w:rPr>
          <w:rFonts w:ascii="Arial" w:hAnsi="Arial" w:cs="Arial"/>
        </w:rPr>
        <w:t xml:space="preserve"> </w:t>
      </w:r>
      <w:r>
        <w:rPr>
          <w:rFonts w:ascii="Arial" w:hAnsi="Arial" w:cs="Arial"/>
        </w:rPr>
        <w:t>T</w:t>
      </w:r>
      <w:r w:rsidRPr="00911DFD">
        <w:rPr>
          <w:rFonts w:ascii="Arial" w:hAnsi="Arial" w:cs="Arial"/>
        </w:rPr>
        <w:t xml:space="preserve">he most cost-effective group to treat were moderate PWID (mean NMB </w:t>
      </w:r>
      <w:r>
        <w:rPr>
          <w:rFonts w:ascii="Arial" w:hAnsi="Arial" w:cs="Arial"/>
        </w:rPr>
        <w:t xml:space="preserve">per early treatment </w:t>
      </w:r>
      <w:r w:rsidRPr="00911DFD">
        <w:rPr>
          <w:rFonts w:ascii="Arial" w:hAnsi="Arial" w:cs="Arial"/>
        </w:rPr>
        <w:t>£60</w:t>
      </w:r>
      <w:r>
        <w:rPr>
          <w:rFonts w:ascii="Arial" w:hAnsi="Arial" w:cs="Arial"/>
        </w:rPr>
        <w:t>,</w:t>
      </w:r>
      <w:r w:rsidRPr="00911DFD">
        <w:rPr>
          <w:rFonts w:ascii="Arial" w:hAnsi="Arial" w:cs="Arial"/>
        </w:rPr>
        <w:t>6</w:t>
      </w:r>
      <w:r>
        <w:rPr>
          <w:rFonts w:ascii="Arial" w:hAnsi="Arial" w:cs="Arial"/>
        </w:rPr>
        <w:t>40</w:t>
      </w:r>
      <w:r w:rsidRPr="00911DFD">
        <w:rPr>
          <w:rFonts w:ascii="Arial" w:hAnsi="Arial" w:cs="Arial"/>
        </w:rPr>
        <w:t xml:space="preserve"> and £23</w:t>
      </w:r>
      <w:r>
        <w:rPr>
          <w:rFonts w:ascii="Arial" w:hAnsi="Arial" w:cs="Arial"/>
        </w:rPr>
        <w:t>,</w:t>
      </w:r>
      <w:r w:rsidRPr="00911DFD">
        <w:rPr>
          <w:rFonts w:ascii="Arial" w:hAnsi="Arial" w:cs="Arial"/>
        </w:rPr>
        <w:t>96</w:t>
      </w:r>
      <w:r>
        <w:rPr>
          <w:rFonts w:ascii="Arial" w:hAnsi="Arial" w:cs="Arial"/>
        </w:rPr>
        <w:t>8</w:t>
      </w:r>
      <w:r w:rsidRPr="00911DFD">
        <w:rPr>
          <w:rFonts w:ascii="Arial" w:hAnsi="Arial" w:cs="Arial"/>
        </w:rPr>
        <w:t xml:space="preserve"> at 20% and 40% chronic prevalence, respectively), followed by mild PWID (mean NMB £</w:t>
      </w:r>
      <w:r w:rsidRPr="00911DFD">
        <w:rPr>
          <w:rFonts w:ascii="Arial" w:eastAsia="Times New Roman" w:hAnsi="Arial" w:cs="Arial"/>
          <w:color w:val="000000"/>
          <w:lang w:val="en-GB"/>
        </w:rPr>
        <w:t>59</w:t>
      </w:r>
      <w:r>
        <w:rPr>
          <w:rFonts w:ascii="Arial" w:eastAsia="Times New Roman" w:hAnsi="Arial" w:cs="Arial"/>
          <w:color w:val="000000"/>
          <w:lang w:val="en-GB"/>
        </w:rPr>
        <w:t>,</w:t>
      </w:r>
      <w:r w:rsidRPr="00911DFD">
        <w:rPr>
          <w:rFonts w:ascii="Arial" w:eastAsia="Times New Roman" w:hAnsi="Arial" w:cs="Arial"/>
          <w:color w:val="000000"/>
          <w:lang w:val="en-GB"/>
        </w:rPr>
        <w:t>25</w:t>
      </w:r>
      <w:r>
        <w:rPr>
          <w:rFonts w:ascii="Arial" w:eastAsia="Times New Roman" w:hAnsi="Arial" w:cs="Arial"/>
          <w:color w:val="000000"/>
          <w:lang w:val="en-GB"/>
        </w:rPr>
        <w:t>8</w:t>
      </w:r>
      <w:r w:rsidRPr="00911DFD">
        <w:rPr>
          <w:rFonts w:ascii="Arial" w:eastAsia="Times New Roman" w:hAnsi="Arial" w:cs="Arial"/>
          <w:color w:val="000000"/>
          <w:lang w:val="en-GB"/>
        </w:rPr>
        <w:t xml:space="preserve"> and £19</w:t>
      </w:r>
      <w:r>
        <w:rPr>
          <w:rFonts w:ascii="Arial" w:eastAsia="Times New Roman" w:hAnsi="Arial" w:cs="Arial"/>
          <w:color w:val="000000"/>
          <w:lang w:val="en-GB"/>
        </w:rPr>
        <w:t>,</w:t>
      </w:r>
      <w:r w:rsidRPr="00911DFD">
        <w:rPr>
          <w:rFonts w:ascii="Arial" w:eastAsia="Times New Roman" w:hAnsi="Arial" w:cs="Arial"/>
          <w:color w:val="000000"/>
          <w:lang w:val="en-GB"/>
        </w:rPr>
        <w:t xml:space="preserve">421, respectively) and then </w:t>
      </w:r>
      <w:r w:rsidRPr="00911DFD">
        <w:rPr>
          <w:rFonts w:ascii="Arial" w:hAnsi="Arial" w:cs="Arial"/>
        </w:rPr>
        <w:t>moderate ex/non-PWID (mean NMB £</w:t>
      </w:r>
      <w:r w:rsidRPr="00911DFD">
        <w:rPr>
          <w:rFonts w:ascii="Arial" w:eastAsia="Times New Roman" w:hAnsi="Arial" w:cs="Arial"/>
          <w:color w:val="000000"/>
          <w:lang w:val="en-GB"/>
        </w:rPr>
        <w:t>9</w:t>
      </w:r>
      <w:r>
        <w:rPr>
          <w:rFonts w:ascii="Arial" w:eastAsia="Times New Roman" w:hAnsi="Arial" w:cs="Arial"/>
          <w:color w:val="000000"/>
          <w:lang w:val="en-GB"/>
        </w:rPr>
        <w:t>,</w:t>
      </w:r>
      <w:r w:rsidRPr="00911DFD">
        <w:rPr>
          <w:rFonts w:ascii="Arial" w:eastAsia="Times New Roman" w:hAnsi="Arial" w:cs="Arial"/>
          <w:color w:val="000000"/>
          <w:lang w:val="en-GB"/>
        </w:rPr>
        <w:t>40</w:t>
      </w:r>
      <w:r>
        <w:rPr>
          <w:rFonts w:ascii="Arial" w:eastAsia="Times New Roman" w:hAnsi="Arial" w:cs="Arial"/>
          <w:color w:val="000000"/>
          <w:lang w:val="en-GB"/>
        </w:rPr>
        <w:t>4</w:t>
      </w:r>
      <w:r w:rsidRPr="00911DFD">
        <w:rPr>
          <w:rFonts w:ascii="Arial" w:eastAsia="Times New Roman" w:hAnsi="Arial" w:cs="Arial"/>
          <w:color w:val="000000"/>
          <w:lang w:val="en-GB"/>
        </w:rPr>
        <w:t>)</w:t>
      </w:r>
      <w:r w:rsidRPr="00911DFD">
        <w:rPr>
          <w:rFonts w:ascii="Arial" w:hAnsi="Arial" w:cs="Arial"/>
        </w:rPr>
        <w:t xml:space="preserve">. Treatment of mild ex/non-PWID </w:t>
      </w:r>
      <w:r>
        <w:rPr>
          <w:rFonts w:ascii="Arial" w:hAnsi="Arial" w:cs="Arial"/>
        </w:rPr>
        <w:t>could be delayed (</w:t>
      </w:r>
      <w:r w:rsidRPr="00911DFD">
        <w:rPr>
          <w:rFonts w:ascii="Arial" w:hAnsi="Arial" w:cs="Arial"/>
        </w:rPr>
        <w:t>mean NMB -£3</w:t>
      </w:r>
      <w:r>
        <w:rPr>
          <w:rFonts w:ascii="Arial" w:hAnsi="Arial" w:cs="Arial"/>
        </w:rPr>
        <w:t>,</w:t>
      </w:r>
      <w:r w:rsidRPr="00911DFD">
        <w:rPr>
          <w:rFonts w:ascii="Arial" w:hAnsi="Arial" w:cs="Arial"/>
        </w:rPr>
        <w:t>6</w:t>
      </w:r>
      <w:r>
        <w:rPr>
          <w:rFonts w:ascii="Arial" w:hAnsi="Arial" w:cs="Arial"/>
        </w:rPr>
        <w:t>50</w:t>
      </w:r>
      <w:r w:rsidRPr="00911DFD">
        <w:rPr>
          <w:rFonts w:ascii="Arial" w:hAnsi="Arial" w:cs="Arial"/>
        </w:rPr>
        <w:t xml:space="preserve">). </w:t>
      </w:r>
      <w:r w:rsidRPr="00911DFD">
        <w:rPr>
          <w:rFonts w:ascii="Arial" w:eastAsia="Times New Roman" w:hAnsi="Arial" w:cs="Arial"/>
          <w:color w:val="000000"/>
          <w:lang w:val="en-GB"/>
        </w:rPr>
        <w:t xml:space="preserve"> </w:t>
      </w:r>
      <w:r>
        <w:rPr>
          <w:rFonts w:ascii="Arial" w:hAnsi="Arial" w:cs="Arial"/>
        </w:rPr>
        <w:t>I</w:t>
      </w:r>
      <w:r w:rsidRPr="00911DFD">
        <w:rPr>
          <w:rFonts w:ascii="Arial" w:hAnsi="Arial" w:cs="Arial"/>
        </w:rPr>
        <w:t xml:space="preserve">n populations with high (60%) chronic HCV prevalence among PWID </w:t>
      </w:r>
      <w:r>
        <w:rPr>
          <w:rFonts w:ascii="Arial" w:hAnsi="Arial" w:cs="Arial"/>
        </w:rPr>
        <w:t xml:space="preserve">it is only </w:t>
      </w:r>
      <w:r w:rsidRPr="00911DFD">
        <w:rPr>
          <w:rFonts w:ascii="Arial" w:hAnsi="Arial" w:cs="Arial"/>
        </w:rPr>
        <w:t xml:space="preserve">cost-effective to prioritize </w:t>
      </w:r>
      <w:r>
        <w:rPr>
          <w:rFonts w:ascii="Arial" w:hAnsi="Arial" w:cs="Arial"/>
        </w:rPr>
        <w:t xml:space="preserve">IFN-free </w:t>
      </w:r>
      <w:r w:rsidRPr="00911DFD">
        <w:rPr>
          <w:rFonts w:ascii="Arial" w:hAnsi="Arial" w:cs="Arial"/>
        </w:rPr>
        <w:t>DAAs to non/ex-PWID with moderate disease</w:t>
      </w:r>
      <w:r>
        <w:rPr>
          <w:rFonts w:ascii="Arial" w:hAnsi="Arial" w:cs="Arial"/>
        </w:rPr>
        <w:t xml:space="preserve">. For every PWID with mild or moderate disease treated, 2 </w:t>
      </w:r>
      <w:r w:rsidRPr="00B1607A">
        <w:rPr>
          <w:rFonts w:ascii="Arial" w:hAnsi="Arial" w:cs="Arial"/>
        </w:rPr>
        <w:t>new HCV infections are averted</w:t>
      </w:r>
      <w:r>
        <w:rPr>
          <w:rFonts w:ascii="Arial" w:hAnsi="Arial" w:cs="Arial"/>
        </w:rPr>
        <w:t xml:space="preserve"> in the 20% chronic HCV setting. </w:t>
      </w:r>
    </w:p>
    <w:p w14:paraId="4B38E5D2" w14:textId="77777777" w:rsidR="00D0334D" w:rsidRDefault="00D0334D" w:rsidP="002B0596">
      <w:pPr>
        <w:rPr>
          <w:rFonts w:ascii="Arial" w:hAnsi="Arial" w:cs="Arial"/>
          <w:b/>
        </w:rPr>
      </w:pPr>
    </w:p>
    <w:p w14:paraId="4BFFB6C4" w14:textId="70832539" w:rsidR="00677DD2" w:rsidRDefault="00D0334D" w:rsidP="002B0596">
      <w:r w:rsidRPr="00911DFD">
        <w:rPr>
          <w:rFonts w:ascii="Arial" w:hAnsi="Arial" w:cs="Arial"/>
          <w:b/>
        </w:rPr>
        <w:t>Conclusions</w:t>
      </w:r>
      <w:r w:rsidR="002B0596">
        <w:rPr>
          <w:rFonts w:ascii="Arial" w:hAnsi="Arial" w:cs="Arial"/>
          <w:b/>
        </w:rPr>
        <w:t>:</w:t>
      </w:r>
      <w:r w:rsidRPr="00911DFD">
        <w:rPr>
          <w:rFonts w:ascii="Arial" w:hAnsi="Arial" w:cs="Arial"/>
          <w:b/>
        </w:rPr>
        <w:t xml:space="preserve"> </w:t>
      </w:r>
      <w:r>
        <w:rPr>
          <w:rFonts w:ascii="Arial" w:hAnsi="Arial" w:cs="Arial"/>
        </w:rPr>
        <w:t xml:space="preserve">In the UK and similar chronic prevalence </w:t>
      </w:r>
      <w:r w:rsidRPr="00911DFD">
        <w:rPr>
          <w:rFonts w:ascii="Arial" w:hAnsi="Arial" w:cs="Arial"/>
        </w:rPr>
        <w:t>settings</w:t>
      </w:r>
      <w:r>
        <w:rPr>
          <w:rFonts w:ascii="Arial" w:hAnsi="Arial" w:cs="Arial"/>
        </w:rPr>
        <w:t xml:space="preserve"> treating P</w:t>
      </w:r>
      <w:r w:rsidRPr="00911DFD">
        <w:rPr>
          <w:rFonts w:ascii="Arial" w:hAnsi="Arial" w:cs="Arial"/>
        </w:rPr>
        <w:t xml:space="preserve">WID </w:t>
      </w:r>
      <w:r>
        <w:rPr>
          <w:rFonts w:ascii="Arial" w:hAnsi="Arial" w:cs="Arial"/>
        </w:rPr>
        <w:t xml:space="preserve">with moderate or mild HCV </w:t>
      </w:r>
      <w:r w:rsidRPr="00911DFD">
        <w:rPr>
          <w:rFonts w:ascii="Arial" w:hAnsi="Arial" w:cs="Arial"/>
        </w:rPr>
        <w:t>disease</w:t>
      </w:r>
      <w:r>
        <w:rPr>
          <w:rFonts w:ascii="Arial" w:hAnsi="Arial" w:cs="Arial"/>
        </w:rPr>
        <w:t xml:space="preserve"> with IFN-free DAAs</w:t>
      </w:r>
      <w:r w:rsidRPr="00911DFD">
        <w:rPr>
          <w:rFonts w:ascii="Arial" w:hAnsi="Arial" w:cs="Arial"/>
        </w:rPr>
        <w:t xml:space="preserve"> </w:t>
      </w:r>
      <w:r>
        <w:rPr>
          <w:rFonts w:ascii="Arial" w:hAnsi="Arial" w:cs="Arial"/>
        </w:rPr>
        <w:t xml:space="preserve">is cost effective compared to delay until cirrhosis. </w:t>
      </w:r>
      <w:r w:rsidRPr="00911DFD">
        <w:rPr>
          <w:rFonts w:ascii="Arial" w:hAnsi="Arial" w:cs="Arial"/>
          <w:lang w:val="en-GB"/>
        </w:rPr>
        <w:t xml:space="preserve">Guidance on treatment prioritisation needs to take account of disease stage </w:t>
      </w:r>
      <w:r w:rsidRPr="00911DFD">
        <w:rPr>
          <w:rFonts w:ascii="Arial" w:hAnsi="Arial" w:cs="Arial"/>
          <w:bCs/>
          <w:lang w:val="en-GB"/>
        </w:rPr>
        <w:t>and</w:t>
      </w:r>
      <w:r w:rsidRPr="007B2D97">
        <w:rPr>
          <w:rFonts w:ascii="Arial" w:hAnsi="Arial" w:cs="Arial"/>
          <w:lang w:val="en-GB"/>
        </w:rPr>
        <w:t xml:space="preserve"> prevention benefit.</w:t>
      </w:r>
    </w:p>
    <w:sectPr w:rsidR="00677DD2" w:rsidSect="002B05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3B2B"/>
    <w:multiLevelType w:val="hybridMultilevel"/>
    <w:tmpl w:val="21701D10"/>
    <w:lvl w:ilvl="0" w:tplc="6DE8F98A">
      <w:start w:val="1"/>
      <w:numFmt w:val="bullet"/>
      <w:lvlText w:val="•"/>
      <w:lvlJc w:val="left"/>
      <w:pPr>
        <w:tabs>
          <w:tab w:val="num" w:pos="720"/>
        </w:tabs>
        <w:ind w:left="720" w:hanging="360"/>
      </w:pPr>
      <w:rPr>
        <w:rFonts w:ascii="Arial" w:hAnsi="Arial" w:hint="default"/>
      </w:rPr>
    </w:lvl>
    <w:lvl w:ilvl="1" w:tplc="E66C6256" w:tentative="1">
      <w:start w:val="1"/>
      <w:numFmt w:val="bullet"/>
      <w:lvlText w:val="•"/>
      <w:lvlJc w:val="left"/>
      <w:pPr>
        <w:tabs>
          <w:tab w:val="num" w:pos="1440"/>
        </w:tabs>
        <w:ind w:left="1440" w:hanging="360"/>
      </w:pPr>
      <w:rPr>
        <w:rFonts w:ascii="Arial" w:hAnsi="Arial" w:hint="default"/>
      </w:rPr>
    </w:lvl>
    <w:lvl w:ilvl="2" w:tplc="0DC6B8C0" w:tentative="1">
      <w:start w:val="1"/>
      <w:numFmt w:val="bullet"/>
      <w:lvlText w:val="•"/>
      <w:lvlJc w:val="left"/>
      <w:pPr>
        <w:tabs>
          <w:tab w:val="num" w:pos="2160"/>
        </w:tabs>
        <w:ind w:left="2160" w:hanging="360"/>
      </w:pPr>
      <w:rPr>
        <w:rFonts w:ascii="Arial" w:hAnsi="Arial" w:hint="default"/>
      </w:rPr>
    </w:lvl>
    <w:lvl w:ilvl="3" w:tplc="111CB5C4" w:tentative="1">
      <w:start w:val="1"/>
      <w:numFmt w:val="bullet"/>
      <w:lvlText w:val="•"/>
      <w:lvlJc w:val="left"/>
      <w:pPr>
        <w:tabs>
          <w:tab w:val="num" w:pos="2880"/>
        </w:tabs>
        <w:ind w:left="2880" w:hanging="360"/>
      </w:pPr>
      <w:rPr>
        <w:rFonts w:ascii="Arial" w:hAnsi="Arial" w:hint="default"/>
      </w:rPr>
    </w:lvl>
    <w:lvl w:ilvl="4" w:tplc="BE101428" w:tentative="1">
      <w:start w:val="1"/>
      <w:numFmt w:val="bullet"/>
      <w:lvlText w:val="•"/>
      <w:lvlJc w:val="left"/>
      <w:pPr>
        <w:tabs>
          <w:tab w:val="num" w:pos="3600"/>
        </w:tabs>
        <w:ind w:left="3600" w:hanging="360"/>
      </w:pPr>
      <w:rPr>
        <w:rFonts w:ascii="Arial" w:hAnsi="Arial" w:hint="default"/>
      </w:rPr>
    </w:lvl>
    <w:lvl w:ilvl="5" w:tplc="B9C42D82" w:tentative="1">
      <w:start w:val="1"/>
      <w:numFmt w:val="bullet"/>
      <w:lvlText w:val="•"/>
      <w:lvlJc w:val="left"/>
      <w:pPr>
        <w:tabs>
          <w:tab w:val="num" w:pos="4320"/>
        </w:tabs>
        <w:ind w:left="4320" w:hanging="360"/>
      </w:pPr>
      <w:rPr>
        <w:rFonts w:ascii="Arial" w:hAnsi="Arial" w:hint="default"/>
      </w:rPr>
    </w:lvl>
    <w:lvl w:ilvl="6" w:tplc="1E24AF7C" w:tentative="1">
      <w:start w:val="1"/>
      <w:numFmt w:val="bullet"/>
      <w:lvlText w:val="•"/>
      <w:lvlJc w:val="left"/>
      <w:pPr>
        <w:tabs>
          <w:tab w:val="num" w:pos="5040"/>
        </w:tabs>
        <w:ind w:left="5040" w:hanging="360"/>
      </w:pPr>
      <w:rPr>
        <w:rFonts w:ascii="Arial" w:hAnsi="Arial" w:hint="default"/>
      </w:rPr>
    </w:lvl>
    <w:lvl w:ilvl="7" w:tplc="939EAF0C" w:tentative="1">
      <w:start w:val="1"/>
      <w:numFmt w:val="bullet"/>
      <w:lvlText w:val="•"/>
      <w:lvlJc w:val="left"/>
      <w:pPr>
        <w:tabs>
          <w:tab w:val="num" w:pos="5760"/>
        </w:tabs>
        <w:ind w:left="5760" w:hanging="360"/>
      </w:pPr>
      <w:rPr>
        <w:rFonts w:ascii="Arial" w:hAnsi="Arial" w:hint="default"/>
      </w:rPr>
    </w:lvl>
    <w:lvl w:ilvl="8" w:tplc="1332DC70" w:tentative="1">
      <w:start w:val="1"/>
      <w:numFmt w:val="bullet"/>
      <w:lvlText w:val="•"/>
      <w:lvlJc w:val="left"/>
      <w:pPr>
        <w:tabs>
          <w:tab w:val="num" w:pos="6480"/>
        </w:tabs>
        <w:ind w:left="6480" w:hanging="360"/>
      </w:pPr>
      <w:rPr>
        <w:rFonts w:ascii="Arial" w:hAnsi="Arial" w:hint="default"/>
      </w:rPr>
    </w:lvl>
  </w:abstractNum>
  <w:abstractNum w:abstractNumId="1">
    <w:nsid w:val="36AB6D8E"/>
    <w:multiLevelType w:val="hybridMultilevel"/>
    <w:tmpl w:val="63E4A88A"/>
    <w:lvl w:ilvl="0" w:tplc="62222CCE">
      <w:start w:val="1"/>
      <w:numFmt w:val="bullet"/>
      <w:lvlText w:val="•"/>
      <w:lvlJc w:val="left"/>
      <w:pPr>
        <w:tabs>
          <w:tab w:val="num" w:pos="720"/>
        </w:tabs>
        <w:ind w:left="720" w:hanging="360"/>
      </w:pPr>
      <w:rPr>
        <w:rFonts w:ascii="Arial" w:hAnsi="Arial" w:hint="default"/>
      </w:rPr>
    </w:lvl>
    <w:lvl w:ilvl="1" w:tplc="33D6FC76" w:tentative="1">
      <w:start w:val="1"/>
      <w:numFmt w:val="bullet"/>
      <w:lvlText w:val="•"/>
      <w:lvlJc w:val="left"/>
      <w:pPr>
        <w:tabs>
          <w:tab w:val="num" w:pos="1440"/>
        </w:tabs>
        <w:ind w:left="1440" w:hanging="360"/>
      </w:pPr>
      <w:rPr>
        <w:rFonts w:ascii="Arial" w:hAnsi="Arial" w:hint="default"/>
      </w:rPr>
    </w:lvl>
    <w:lvl w:ilvl="2" w:tplc="F2A68F02" w:tentative="1">
      <w:start w:val="1"/>
      <w:numFmt w:val="bullet"/>
      <w:lvlText w:val="•"/>
      <w:lvlJc w:val="left"/>
      <w:pPr>
        <w:tabs>
          <w:tab w:val="num" w:pos="2160"/>
        </w:tabs>
        <w:ind w:left="2160" w:hanging="360"/>
      </w:pPr>
      <w:rPr>
        <w:rFonts w:ascii="Arial" w:hAnsi="Arial" w:hint="default"/>
      </w:rPr>
    </w:lvl>
    <w:lvl w:ilvl="3" w:tplc="E7A424B6" w:tentative="1">
      <w:start w:val="1"/>
      <w:numFmt w:val="bullet"/>
      <w:lvlText w:val="•"/>
      <w:lvlJc w:val="left"/>
      <w:pPr>
        <w:tabs>
          <w:tab w:val="num" w:pos="2880"/>
        </w:tabs>
        <w:ind w:left="2880" w:hanging="360"/>
      </w:pPr>
      <w:rPr>
        <w:rFonts w:ascii="Arial" w:hAnsi="Arial" w:hint="default"/>
      </w:rPr>
    </w:lvl>
    <w:lvl w:ilvl="4" w:tplc="A6AE0756" w:tentative="1">
      <w:start w:val="1"/>
      <w:numFmt w:val="bullet"/>
      <w:lvlText w:val="•"/>
      <w:lvlJc w:val="left"/>
      <w:pPr>
        <w:tabs>
          <w:tab w:val="num" w:pos="3600"/>
        </w:tabs>
        <w:ind w:left="3600" w:hanging="360"/>
      </w:pPr>
      <w:rPr>
        <w:rFonts w:ascii="Arial" w:hAnsi="Arial" w:hint="default"/>
      </w:rPr>
    </w:lvl>
    <w:lvl w:ilvl="5" w:tplc="E6062DBA" w:tentative="1">
      <w:start w:val="1"/>
      <w:numFmt w:val="bullet"/>
      <w:lvlText w:val="•"/>
      <w:lvlJc w:val="left"/>
      <w:pPr>
        <w:tabs>
          <w:tab w:val="num" w:pos="4320"/>
        </w:tabs>
        <w:ind w:left="4320" w:hanging="360"/>
      </w:pPr>
      <w:rPr>
        <w:rFonts w:ascii="Arial" w:hAnsi="Arial" w:hint="default"/>
      </w:rPr>
    </w:lvl>
    <w:lvl w:ilvl="6" w:tplc="B89011FE" w:tentative="1">
      <w:start w:val="1"/>
      <w:numFmt w:val="bullet"/>
      <w:lvlText w:val="•"/>
      <w:lvlJc w:val="left"/>
      <w:pPr>
        <w:tabs>
          <w:tab w:val="num" w:pos="5040"/>
        </w:tabs>
        <w:ind w:left="5040" w:hanging="360"/>
      </w:pPr>
      <w:rPr>
        <w:rFonts w:ascii="Arial" w:hAnsi="Arial" w:hint="default"/>
      </w:rPr>
    </w:lvl>
    <w:lvl w:ilvl="7" w:tplc="7E0C0856" w:tentative="1">
      <w:start w:val="1"/>
      <w:numFmt w:val="bullet"/>
      <w:lvlText w:val="•"/>
      <w:lvlJc w:val="left"/>
      <w:pPr>
        <w:tabs>
          <w:tab w:val="num" w:pos="5760"/>
        </w:tabs>
        <w:ind w:left="5760" w:hanging="360"/>
      </w:pPr>
      <w:rPr>
        <w:rFonts w:ascii="Arial" w:hAnsi="Arial" w:hint="default"/>
      </w:rPr>
    </w:lvl>
    <w:lvl w:ilvl="8" w:tplc="384C1922" w:tentative="1">
      <w:start w:val="1"/>
      <w:numFmt w:val="bullet"/>
      <w:lvlText w:val="•"/>
      <w:lvlJc w:val="left"/>
      <w:pPr>
        <w:tabs>
          <w:tab w:val="num" w:pos="6480"/>
        </w:tabs>
        <w:ind w:left="6480" w:hanging="360"/>
      </w:pPr>
      <w:rPr>
        <w:rFonts w:ascii="Arial" w:hAnsi="Arial" w:hint="default"/>
      </w:rPr>
    </w:lvl>
  </w:abstractNum>
  <w:abstractNum w:abstractNumId="2">
    <w:nsid w:val="416040F1"/>
    <w:multiLevelType w:val="hybridMultilevel"/>
    <w:tmpl w:val="50AAF5DC"/>
    <w:lvl w:ilvl="0" w:tplc="8BF237C2">
      <w:start w:val="1"/>
      <w:numFmt w:val="bullet"/>
      <w:lvlText w:val="•"/>
      <w:lvlJc w:val="left"/>
      <w:pPr>
        <w:tabs>
          <w:tab w:val="num" w:pos="720"/>
        </w:tabs>
        <w:ind w:left="720" w:hanging="360"/>
      </w:pPr>
      <w:rPr>
        <w:rFonts w:ascii="Arial" w:hAnsi="Arial" w:hint="default"/>
      </w:rPr>
    </w:lvl>
    <w:lvl w:ilvl="1" w:tplc="7A4E7E80">
      <w:numFmt w:val="bullet"/>
      <w:lvlText w:val="•"/>
      <w:lvlJc w:val="left"/>
      <w:pPr>
        <w:tabs>
          <w:tab w:val="num" w:pos="1440"/>
        </w:tabs>
        <w:ind w:left="1440" w:hanging="360"/>
      </w:pPr>
      <w:rPr>
        <w:rFonts w:ascii="Arial" w:hAnsi="Arial" w:hint="default"/>
      </w:rPr>
    </w:lvl>
    <w:lvl w:ilvl="2" w:tplc="7C44B028" w:tentative="1">
      <w:start w:val="1"/>
      <w:numFmt w:val="bullet"/>
      <w:lvlText w:val="•"/>
      <w:lvlJc w:val="left"/>
      <w:pPr>
        <w:tabs>
          <w:tab w:val="num" w:pos="2160"/>
        </w:tabs>
        <w:ind w:left="2160" w:hanging="360"/>
      </w:pPr>
      <w:rPr>
        <w:rFonts w:ascii="Arial" w:hAnsi="Arial" w:hint="default"/>
      </w:rPr>
    </w:lvl>
    <w:lvl w:ilvl="3" w:tplc="605E54BE" w:tentative="1">
      <w:start w:val="1"/>
      <w:numFmt w:val="bullet"/>
      <w:lvlText w:val="•"/>
      <w:lvlJc w:val="left"/>
      <w:pPr>
        <w:tabs>
          <w:tab w:val="num" w:pos="2880"/>
        </w:tabs>
        <w:ind w:left="2880" w:hanging="360"/>
      </w:pPr>
      <w:rPr>
        <w:rFonts w:ascii="Arial" w:hAnsi="Arial" w:hint="default"/>
      </w:rPr>
    </w:lvl>
    <w:lvl w:ilvl="4" w:tplc="759E8D6A" w:tentative="1">
      <w:start w:val="1"/>
      <w:numFmt w:val="bullet"/>
      <w:lvlText w:val="•"/>
      <w:lvlJc w:val="left"/>
      <w:pPr>
        <w:tabs>
          <w:tab w:val="num" w:pos="3600"/>
        </w:tabs>
        <w:ind w:left="3600" w:hanging="360"/>
      </w:pPr>
      <w:rPr>
        <w:rFonts w:ascii="Arial" w:hAnsi="Arial" w:hint="default"/>
      </w:rPr>
    </w:lvl>
    <w:lvl w:ilvl="5" w:tplc="8144B720" w:tentative="1">
      <w:start w:val="1"/>
      <w:numFmt w:val="bullet"/>
      <w:lvlText w:val="•"/>
      <w:lvlJc w:val="left"/>
      <w:pPr>
        <w:tabs>
          <w:tab w:val="num" w:pos="4320"/>
        </w:tabs>
        <w:ind w:left="4320" w:hanging="360"/>
      </w:pPr>
      <w:rPr>
        <w:rFonts w:ascii="Arial" w:hAnsi="Arial" w:hint="default"/>
      </w:rPr>
    </w:lvl>
    <w:lvl w:ilvl="6" w:tplc="CEFAD6F8" w:tentative="1">
      <w:start w:val="1"/>
      <w:numFmt w:val="bullet"/>
      <w:lvlText w:val="•"/>
      <w:lvlJc w:val="left"/>
      <w:pPr>
        <w:tabs>
          <w:tab w:val="num" w:pos="5040"/>
        </w:tabs>
        <w:ind w:left="5040" w:hanging="360"/>
      </w:pPr>
      <w:rPr>
        <w:rFonts w:ascii="Arial" w:hAnsi="Arial" w:hint="default"/>
      </w:rPr>
    </w:lvl>
    <w:lvl w:ilvl="7" w:tplc="A9B27EC6" w:tentative="1">
      <w:start w:val="1"/>
      <w:numFmt w:val="bullet"/>
      <w:lvlText w:val="•"/>
      <w:lvlJc w:val="left"/>
      <w:pPr>
        <w:tabs>
          <w:tab w:val="num" w:pos="5760"/>
        </w:tabs>
        <w:ind w:left="5760" w:hanging="360"/>
      </w:pPr>
      <w:rPr>
        <w:rFonts w:ascii="Arial" w:hAnsi="Arial" w:hint="default"/>
      </w:rPr>
    </w:lvl>
    <w:lvl w:ilvl="8" w:tplc="FE9A244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D2"/>
    <w:rsid w:val="000B4B6C"/>
    <w:rsid w:val="00123D27"/>
    <w:rsid w:val="001F3412"/>
    <w:rsid w:val="00253400"/>
    <w:rsid w:val="002B0596"/>
    <w:rsid w:val="002E50C6"/>
    <w:rsid w:val="00317325"/>
    <w:rsid w:val="003B023D"/>
    <w:rsid w:val="003D333A"/>
    <w:rsid w:val="004F0445"/>
    <w:rsid w:val="00554CC5"/>
    <w:rsid w:val="00604025"/>
    <w:rsid w:val="00631D4C"/>
    <w:rsid w:val="00677DD2"/>
    <w:rsid w:val="007B2D97"/>
    <w:rsid w:val="007B74B0"/>
    <w:rsid w:val="007E4CA5"/>
    <w:rsid w:val="008D476F"/>
    <w:rsid w:val="00951F17"/>
    <w:rsid w:val="009C56C7"/>
    <w:rsid w:val="009D0521"/>
    <w:rsid w:val="00A04A54"/>
    <w:rsid w:val="00A30FAF"/>
    <w:rsid w:val="00AF5F8C"/>
    <w:rsid w:val="00B74E1D"/>
    <w:rsid w:val="00B8107C"/>
    <w:rsid w:val="00BD75EC"/>
    <w:rsid w:val="00D0334D"/>
    <w:rsid w:val="00D97215"/>
    <w:rsid w:val="00DB1B70"/>
    <w:rsid w:val="00DE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58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DD2"/>
    <w:rPr>
      <w:rFonts w:ascii="Lucida Grande" w:hAnsi="Lucida Grande" w:cs="Lucida Grande"/>
      <w:sz w:val="18"/>
      <w:szCs w:val="18"/>
    </w:rPr>
  </w:style>
  <w:style w:type="paragraph" w:styleId="ListParagraph">
    <w:name w:val="List Paragraph"/>
    <w:basedOn w:val="Normal"/>
    <w:uiPriority w:val="34"/>
    <w:qFormat/>
    <w:rsid w:val="009D0521"/>
    <w:pPr>
      <w:ind w:left="720"/>
      <w:contextualSpacing/>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DD2"/>
    <w:rPr>
      <w:rFonts w:ascii="Lucida Grande" w:hAnsi="Lucida Grande" w:cs="Lucida Grande"/>
      <w:sz w:val="18"/>
      <w:szCs w:val="18"/>
    </w:rPr>
  </w:style>
  <w:style w:type="paragraph" w:styleId="ListParagraph">
    <w:name w:val="List Paragraph"/>
    <w:basedOn w:val="Normal"/>
    <w:uiPriority w:val="34"/>
    <w:qFormat/>
    <w:rsid w:val="009D0521"/>
    <w:pPr>
      <w:ind w:left="720"/>
      <w:contextualSpacing/>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7459">
      <w:bodyDiv w:val="1"/>
      <w:marLeft w:val="0"/>
      <w:marRight w:val="0"/>
      <w:marTop w:val="0"/>
      <w:marBottom w:val="0"/>
      <w:divBdr>
        <w:top w:val="none" w:sz="0" w:space="0" w:color="auto"/>
        <w:left w:val="none" w:sz="0" w:space="0" w:color="auto"/>
        <w:bottom w:val="none" w:sz="0" w:space="0" w:color="auto"/>
        <w:right w:val="none" w:sz="0" w:space="0" w:color="auto"/>
      </w:divBdr>
      <w:divsChild>
        <w:div w:id="1994481860">
          <w:marLeft w:val="1181"/>
          <w:marRight w:val="0"/>
          <w:marTop w:val="0"/>
          <w:marBottom w:val="0"/>
          <w:divBdr>
            <w:top w:val="none" w:sz="0" w:space="0" w:color="auto"/>
            <w:left w:val="none" w:sz="0" w:space="0" w:color="auto"/>
            <w:bottom w:val="none" w:sz="0" w:space="0" w:color="auto"/>
            <w:right w:val="none" w:sz="0" w:space="0" w:color="auto"/>
          </w:divBdr>
        </w:div>
        <w:div w:id="2069571433">
          <w:marLeft w:val="1858"/>
          <w:marRight w:val="0"/>
          <w:marTop w:val="0"/>
          <w:marBottom w:val="0"/>
          <w:divBdr>
            <w:top w:val="none" w:sz="0" w:space="0" w:color="auto"/>
            <w:left w:val="none" w:sz="0" w:space="0" w:color="auto"/>
            <w:bottom w:val="none" w:sz="0" w:space="0" w:color="auto"/>
            <w:right w:val="none" w:sz="0" w:space="0" w:color="auto"/>
          </w:divBdr>
        </w:div>
        <w:div w:id="1142043180">
          <w:marLeft w:val="1858"/>
          <w:marRight w:val="0"/>
          <w:marTop w:val="0"/>
          <w:marBottom w:val="0"/>
          <w:divBdr>
            <w:top w:val="none" w:sz="0" w:space="0" w:color="auto"/>
            <w:left w:val="none" w:sz="0" w:space="0" w:color="auto"/>
            <w:bottom w:val="none" w:sz="0" w:space="0" w:color="auto"/>
            <w:right w:val="none" w:sz="0" w:space="0" w:color="auto"/>
          </w:divBdr>
        </w:div>
        <w:div w:id="406416053">
          <w:marLeft w:val="1181"/>
          <w:marRight w:val="0"/>
          <w:marTop w:val="0"/>
          <w:marBottom w:val="0"/>
          <w:divBdr>
            <w:top w:val="none" w:sz="0" w:space="0" w:color="auto"/>
            <w:left w:val="none" w:sz="0" w:space="0" w:color="auto"/>
            <w:bottom w:val="none" w:sz="0" w:space="0" w:color="auto"/>
            <w:right w:val="none" w:sz="0" w:space="0" w:color="auto"/>
          </w:divBdr>
        </w:div>
        <w:div w:id="723529724">
          <w:marLeft w:val="1181"/>
          <w:marRight w:val="0"/>
          <w:marTop w:val="0"/>
          <w:marBottom w:val="0"/>
          <w:divBdr>
            <w:top w:val="none" w:sz="0" w:space="0" w:color="auto"/>
            <w:left w:val="none" w:sz="0" w:space="0" w:color="auto"/>
            <w:bottom w:val="none" w:sz="0" w:space="0" w:color="auto"/>
            <w:right w:val="none" w:sz="0" w:space="0" w:color="auto"/>
          </w:divBdr>
        </w:div>
        <w:div w:id="1699117677">
          <w:marLeft w:val="1181"/>
          <w:marRight w:val="0"/>
          <w:marTop w:val="0"/>
          <w:marBottom w:val="0"/>
          <w:divBdr>
            <w:top w:val="none" w:sz="0" w:space="0" w:color="auto"/>
            <w:left w:val="none" w:sz="0" w:space="0" w:color="auto"/>
            <w:bottom w:val="none" w:sz="0" w:space="0" w:color="auto"/>
            <w:right w:val="none" w:sz="0" w:space="0" w:color="auto"/>
          </w:divBdr>
        </w:div>
        <w:div w:id="841046403">
          <w:marLeft w:val="1181"/>
          <w:marRight w:val="0"/>
          <w:marTop w:val="0"/>
          <w:marBottom w:val="0"/>
          <w:divBdr>
            <w:top w:val="none" w:sz="0" w:space="0" w:color="auto"/>
            <w:left w:val="none" w:sz="0" w:space="0" w:color="auto"/>
            <w:bottom w:val="none" w:sz="0" w:space="0" w:color="auto"/>
            <w:right w:val="none" w:sz="0" w:space="0" w:color="auto"/>
          </w:divBdr>
        </w:div>
      </w:divsChild>
    </w:div>
    <w:div w:id="1162425675">
      <w:bodyDiv w:val="1"/>
      <w:marLeft w:val="0"/>
      <w:marRight w:val="0"/>
      <w:marTop w:val="0"/>
      <w:marBottom w:val="0"/>
      <w:divBdr>
        <w:top w:val="none" w:sz="0" w:space="0" w:color="auto"/>
        <w:left w:val="none" w:sz="0" w:space="0" w:color="auto"/>
        <w:bottom w:val="none" w:sz="0" w:space="0" w:color="auto"/>
        <w:right w:val="none" w:sz="0" w:space="0" w:color="auto"/>
      </w:divBdr>
      <w:divsChild>
        <w:div w:id="987586652">
          <w:marLeft w:val="907"/>
          <w:marRight w:val="0"/>
          <w:marTop w:val="0"/>
          <w:marBottom w:val="0"/>
          <w:divBdr>
            <w:top w:val="none" w:sz="0" w:space="0" w:color="auto"/>
            <w:left w:val="none" w:sz="0" w:space="0" w:color="auto"/>
            <w:bottom w:val="none" w:sz="0" w:space="0" w:color="auto"/>
            <w:right w:val="none" w:sz="0" w:space="0" w:color="auto"/>
          </w:divBdr>
        </w:div>
      </w:divsChild>
    </w:div>
    <w:div w:id="1546018406">
      <w:bodyDiv w:val="1"/>
      <w:marLeft w:val="0"/>
      <w:marRight w:val="0"/>
      <w:marTop w:val="0"/>
      <w:marBottom w:val="0"/>
      <w:divBdr>
        <w:top w:val="none" w:sz="0" w:space="0" w:color="auto"/>
        <w:left w:val="none" w:sz="0" w:space="0" w:color="auto"/>
        <w:bottom w:val="none" w:sz="0" w:space="0" w:color="auto"/>
        <w:right w:val="none" w:sz="0" w:space="0" w:color="auto"/>
      </w:divBdr>
    </w:div>
    <w:div w:id="2073768323">
      <w:bodyDiv w:val="1"/>
      <w:marLeft w:val="0"/>
      <w:marRight w:val="0"/>
      <w:marTop w:val="0"/>
      <w:marBottom w:val="0"/>
      <w:divBdr>
        <w:top w:val="none" w:sz="0" w:space="0" w:color="auto"/>
        <w:left w:val="none" w:sz="0" w:space="0" w:color="auto"/>
        <w:bottom w:val="none" w:sz="0" w:space="0" w:color="auto"/>
        <w:right w:val="none" w:sz="0" w:space="0" w:color="auto"/>
      </w:divBdr>
      <w:divsChild>
        <w:div w:id="1534658185">
          <w:marLeft w:val="907"/>
          <w:marRight w:val="0"/>
          <w:marTop w:val="0"/>
          <w:marBottom w:val="0"/>
          <w:divBdr>
            <w:top w:val="none" w:sz="0" w:space="0" w:color="auto"/>
            <w:left w:val="none" w:sz="0" w:space="0" w:color="auto"/>
            <w:bottom w:val="none" w:sz="0" w:space="0" w:color="auto"/>
            <w:right w:val="none" w:sz="0" w:space="0" w:color="auto"/>
          </w:divBdr>
        </w:div>
        <w:div w:id="2062823958">
          <w:marLeft w:val="90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Rini Das</cp:lastModifiedBy>
  <cp:revision>4</cp:revision>
  <dcterms:created xsi:type="dcterms:W3CDTF">2015-06-09T17:20:00Z</dcterms:created>
  <dcterms:modified xsi:type="dcterms:W3CDTF">2015-06-22T23:58:00Z</dcterms:modified>
</cp:coreProperties>
</file>