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8" w:rsidRDefault="00EF1CF2" w:rsidP="00EF1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HIGH CONNECTIVITY IS ASSOCIATED WITH HIV CO-INFECTION IN THE TRANSMISSION NETWORK OF PEOPLE WITH RECENT HEPATITIS C VIRUS INFECTION IN AUSTRALIA </w:t>
      </w:r>
    </w:p>
    <w:p w:rsidR="00B32CC1" w:rsidRPr="00705AA8" w:rsidRDefault="00B32CC1" w:rsidP="00EF1CF2">
      <w:pPr>
        <w:rPr>
          <w:rFonts w:ascii="Arial" w:hAnsi="Arial" w:cs="Arial"/>
        </w:rPr>
      </w:pPr>
    </w:p>
    <w:p w:rsidR="00FD4188" w:rsidRDefault="00FD4188" w:rsidP="00EF1CF2">
      <w:pPr>
        <w:rPr>
          <w:rFonts w:ascii="Arial" w:hAnsi="Arial" w:cs="Arial"/>
        </w:rPr>
      </w:pPr>
      <w:r w:rsidRPr="00EA636A">
        <w:rPr>
          <w:rFonts w:ascii="Arial" w:hAnsi="Arial" w:cs="Arial"/>
        </w:rPr>
        <w:t>Bartlett S</w:t>
      </w:r>
      <w:r w:rsidRPr="00EA636A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Raffa</w:t>
      </w:r>
      <w:proofErr w:type="spellEnd"/>
      <w:r>
        <w:rPr>
          <w:rFonts w:ascii="Arial" w:hAnsi="Arial" w:cs="Arial"/>
        </w:rPr>
        <w:t xml:space="preserve"> JD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3913DD">
        <w:rPr>
          <w:rFonts w:ascii="Arial" w:hAnsi="Arial" w:cs="Arial"/>
        </w:rPr>
        <w:t>Jacka B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 Bull R</w:t>
      </w:r>
      <w:r>
        <w:rPr>
          <w:rFonts w:ascii="Arial" w:hAnsi="Arial" w:cs="Arial"/>
          <w:vertAlign w:val="superscript"/>
        </w:rPr>
        <w:t>3</w:t>
      </w:r>
      <w:r w:rsidRPr="003913DD">
        <w:rPr>
          <w:rFonts w:ascii="Arial" w:hAnsi="Arial" w:cs="Arial"/>
        </w:rPr>
        <w:t>, Luciani F</w:t>
      </w:r>
      <w:r>
        <w:rPr>
          <w:rFonts w:ascii="Arial" w:hAnsi="Arial" w:cs="Arial"/>
          <w:vertAlign w:val="superscript"/>
        </w:rPr>
        <w:t>3</w:t>
      </w:r>
      <w:r w:rsidRPr="003913DD">
        <w:rPr>
          <w:rFonts w:ascii="Arial" w:hAnsi="Arial" w:cs="Arial"/>
        </w:rPr>
        <w:t>, Matthews GV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 Lamoury F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 Hellard M</w:t>
      </w:r>
      <w:r>
        <w:rPr>
          <w:rFonts w:ascii="Arial" w:hAnsi="Arial" w:cs="Arial"/>
          <w:vertAlign w:val="superscript"/>
        </w:rPr>
        <w:t>4</w:t>
      </w:r>
      <w:r w:rsidRPr="003913DD">
        <w:rPr>
          <w:rFonts w:ascii="Arial" w:hAnsi="Arial" w:cs="Arial"/>
        </w:rPr>
        <w:t>, White B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 Maher L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</w:t>
      </w:r>
      <w:r w:rsidRPr="003913DD">
        <w:rPr>
          <w:rFonts w:ascii="Arial" w:hAnsi="Arial" w:cs="Arial"/>
          <w:vertAlign w:val="superscript"/>
        </w:rPr>
        <w:t xml:space="preserve"> </w:t>
      </w:r>
      <w:r w:rsidRPr="003913DD">
        <w:rPr>
          <w:rFonts w:ascii="Arial" w:hAnsi="Arial" w:cs="Arial"/>
        </w:rPr>
        <w:t>Dore GJ</w:t>
      </w:r>
      <w:r w:rsidRPr="003913DD">
        <w:rPr>
          <w:rFonts w:ascii="Arial" w:hAnsi="Arial" w:cs="Arial"/>
          <w:vertAlign w:val="superscript"/>
        </w:rPr>
        <w:t>1</w:t>
      </w:r>
      <w:r w:rsidRPr="003913DD">
        <w:rPr>
          <w:rFonts w:ascii="Arial" w:hAnsi="Arial" w:cs="Arial"/>
        </w:rPr>
        <w:t>,  Lloyd A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perscript"/>
        </w:rPr>
        <w:t>3</w:t>
      </w:r>
      <w:r w:rsidRPr="003913DD">
        <w:rPr>
          <w:rFonts w:ascii="Arial" w:hAnsi="Arial" w:cs="Arial"/>
        </w:rPr>
        <w:t xml:space="preserve">, </w:t>
      </w:r>
      <w:r w:rsidRPr="003B40B4">
        <w:rPr>
          <w:rFonts w:ascii="Arial" w:hAnsi="Arial" w:cs="Arial"/>
        </w:rPr>
        <w:t>Applegate T</w:t>
      </w:r>
      <w:r>
        <w:rPr>
          <w:rFonts w:ascii="Arial" w:hAnsi="Arial" w:cs="Arial"/>
        </w:rPr>
        <w:t>*</w:t>
      </w:r>
      <w:r w:rsidRPr="003B40B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and </w:t>
      </w:r>
      <w:r w:rsidRPr="00EA636A">
        <w:rPr>
          <w:rFonts w:ascii="Arial" w:hAnsi="Arial" w:cs="Arial"/>
          <w:u w:val="single"/>
        </w:rPr>
        <w:t>Grebely J*</w:t>
      </w:r>
      <w:r w:rsidRPr="00EA636A">
        <w:rPr>
          <w:rFonts w:ascii="Arial" w:hAnsi="Arial" w:cs="Arial"/>
          <w:u w:val="single"/>
          <w:vertAlign w:val="superscript"/>
        </w:rPr>
        <w:t>1</w:t>
      </w:r>
      <w:r w:rsidRPr="003913DD">
        <w:rPr>
          <w:rFonts w:ascii="Arial" w:hAnsi="Arial" w:cs="Arial"/>
        </w:rPr>
        <w:t xml:space="preserve"> </w:t>
      </w:r>
    </w:p>
    <w:p w:rsidR="00FD4188" w:rsidRPr="003B40B4" w:rsidRDefault="00FD4188" w:rsidP="00EF1CF2">
      <w:pPr>
        <w:rPr>
          <w:rFonts w:ascii="Arial" w:hAnsi="Arial" w:cs="Arial"/>
        </w:rPr>
      </w:pPr>
    </w:p>
    <w:p w:rsidR="00FD4188" w:rsidRDefault="00FD4188" w:rsidP="00EF1CF2">
      <w:pPr>
        <w:pStyle w:val="NoSpacing"/>
        <w:rPr>
          <w:rFonts w:ascii="Arial" w:hAnsi="Arial" w:cs="Arial"/>
        </w:rPr>
      </w:pPr>
      <w:r w:rsidRPr="00B0027F">
        <w:rPr>
          <w:rFonts w:ascii="Arial" w:hAnsi="Arial" w:cs="Arial"/>
          <w:vertAlign w:val="superscript"/>
        </w:rPr>
        <w:t>1</w:t>
      </w:r>
      <w:r w:rsidRPr="00B0027F">
        <w:rPr>
          <w:rFonts w:ascii="Arial" w:hAnsi="Arial" w:cs="Arial"/>
        </w:rPr>
        <w:t>Kirby Institute, UN</w:t>
      </w:r>
      <w:r>
        <w:rPr>
          <w:rFonts w:ascii="Arial" w:hAnsi="Arial" w:cs="Arial"/>
        </w:rPr>
        <w:t xml:space="preserve">SW Australia, Sydney, Australia, </w:t>
      </w:r>
      <w:r w:rsidRPr="00B0027F">
        <w:rPr>
          <w:rFonts w:ascii="Arial" w:hAnsi="Arial" w:cs="Arial"/>
          <w:vertAlign w:val="superscript"/>
        </w:rPr>
        <w:t>2</w:t>
      </w:r>
      <w:r w:rsidRPr="00B0027F">
        <w:rPr>
          <w:rFonts w:ascii="Arial" w:hAnsi="Arial" w:cs="Arial"/>
        </w:rPr>
        <w:t>Department of Statistics, University of Washington, Seattle, United States</w:t>
      </w:r>
      <w:r>
        <w:rPr>
          <w:rFonts w:ascii="Arial" w:hAnsi="Arial" w:cs="Arial"/>
        </w:rPr>
        <w:t xml:space="preserve">, </w:t>
      </w:r>
      <w:r w:rsidRPr="00B0027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Inflammation and Infection </w:t>
      </w:r>
      <w:r w:rsidRPr="00B0027F">
        <w:rPr>
          <w:rFonts w:ascii="Arial" w:hAnsi="Arial" w:cs="Arial"/>
        </w:rPr>
        <w:t>Research Centre (IIRC), UNSW Australia, Sydney, Australia</w:t>
      </w:r>
      <w:r>
        <w:rPr>
          <w:rFonts w:ascii="Arial" w:hAnsi="Arial" w:cs="Arial"/>
        </w:rPr>
        <w:t xml:space="preserve">, </w:t>
      </w:r>
      <w:r w:rsidRPr="00B0027F">
        <w:rPr>
          <w:rFonts w:ascii="Arial" w:hAnsi="Arial" w:cs="Arial"/>
          <w:vertAlign w:val="superscript"/>
        </w:rPr>
        <w:t>4</w:t>
      </w:r>
      <w:r w:rsidRPr="00B0027F">
        <w:rPr>
          <w:rFonts w:ascii="Arial" w:hAnsi="Arial" w:cs="Arial"/>
        </w:rPr>
        <w:t xml:space="preserve">The Burnet Institute, </w:t>
      </w:r>
      <w:bookmarkStart w:id="0" w:name="_GoBack"/>
      <w:bookmarkEnd w:id="0"/>
      <w:r w:rsidRPr="00B0027F">
        <w:rPr>
          <w:rFonts w:ascii="Arial" w:hAnsi="Arial" w:cs="Arial"/>
        </w:rPr>
        <w:t>Melbourne, Australia</w:t>
      </w:r>
    </w:p>
    <w:p w:rsidR="00FD4188" w:rsidRPr="00B0027F" w:rsidRDefault="00FD4188" w:rsidP="00EF1CF2">
      <w:pPr>
        <w:pStyle w:val="NoSpacing"/>
        <w:rPr>
          <w:rFonts w:ascii="Arial" w:hAnsi="Arial" w:cs="Arial"/>
        </w:rPr>
      </w:pPr>
    </w:p>
    <w:p w:rsidR="00FD4188" w:rsidRDefault="00FD4188" w:rsidP="00EF1C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  <w:r w:rsidRPr="003B40B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Molecular epidemiology can identify individuals within a network more likely to transmit infection, enabling more targeted delivery of treatment and prevention strategies. This study aimed to reconstruct a local HCV transmission network and identify factors associated with higher connectivity among three studies of people with recent HCV infection in Australia recruited from 2006 to 2013.</w:t>
      </w:r>
    </w:p>
    <w:p w:rsidR="00EF1CF2" w:rsidRDefault="00EF1CF2" w:rsidP="00EF1CF2">
      <w:pPr>
        <w:jc w:val="both"/>
        <w:rPr>
          <w:rFonts w:ascii="Arial" w:hAnsi="Arial" w:cs="Arial"/>
        </w:rPr>
      </w:pPr>
    </w:p>
    <w:p w:rsidR="00FD4188" w:rsidRDefault="00FD4188" w:rsidP="00EF1CF2">
      <w:pPr>
        <w:jc w:val="both"/>
        <w:rPr>
          <w:rFonts w:ascii="Arial" w:hAnsi="Arial" w:cs="Arial"/>
          <w:iCs/>
          <w:color w:val="000000"/>
        </w:rPr>
      </w:pPr>
      <w:r w:rsidRPr="003B40B4">
        <w:rPr>
          <w:rFonts w:ascii="Arial" w:hAnsi="Arial" w:cs="Arial"/>
          <w:b/>
        </w:rPr>
        <w:t>Methods:</w:t>
      </w:r>
      <w:r w:rsidRPr="00191CB1">
        <w:rPr>
          <w:rFonts w:ascii="Arial" w:hAnsi="Arial" w:cs="Arial"/>
        </w:rPr>
        <w:t xml:space="preserve"> Sequence data </w:t>
      </w:r>
      <w:r>
        <w:rPr>
          <w:rFonts w:ascii="Arial" w:hAnsi="Arial" w:cs="Arial"/>
        </w:rPr>
        <w:t>from participants with</w:t>
      </w:r>
      <w:r w:rsidRPr="00191CB1">
        <w:rPr>
          <w:rFonts w:ascii="Arial" w:hAnsi="Arial" w:cs="Arial"/>
        </w:rPr>
        <w:t xml:space="preserve"> an available HCV sequence</w:t>
      </w:r>
      <w:r>
        <w:rPr>
          <w:rFonts w:ascii="Arial" w:hAnsi="Arial" w:cs="Arial"/>
        </w:rPr>
        <w:t xml:space="preserve"> (Core-E2 region)</w:t>
      </w:r>
      <w:r w:rsidRPr="00191CB1">
        <w:rPr>
          <w:rFonts w:ascii="Arial" w:hAnsi="Arial" w:cs="Arial"/>
        </w:rPr>
        <w:t xml:space="preserve"> at time of HCV detection were </w:t>
      </w:r>
      <w:proofErr w:type="spellStart"/>
      <w:r w:rsidRPr="00191CB1">
        <w:rPr>
          <w:rFonts w:ascii="Arial" w:hAnsi="Arial" w:cs="Arial"/>
        </w:rPr>
        <w:t>analysed</w:t>
      </w:r>
      <w:proofErr w:type="spellEnd"/>
      <w:r w:rsidRPr="00191CB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infer a partial local</w:t>
      </w:r>
      <w:r w:rsidRPr="00191CB1">
        <w:rPr>
          <w:rFonts w:ascii="Arial" w:hAnsi="Arial" w:cs="Arial"/>
        </w:rPr>
        <w:t xml:space="preserve"> transmission network.</w:t>
      </w:r>
      <w:r>
        <w:rPr>
          <w:rFonts w:ascii="Arial" w:hAnsi="Arial" w:cs="Arial"/>
        </w:rPr>
        <w:t xml:space="preserve"> The network was constructed by linking any pair of sequences whose divergence was ≤4% (TN93 distance measure). C</w:t>
      </w:r>
      <w:r w:rsidRPr="00531602">
        <w:rPr>
          <w:rFonts w:ascii="Arial" w:hAnsi="Arial" w:cs="Arial"/>
        </w:rPr>
        <w:t>onnectivity</w:t>
      </w:r>
      <w:r>
        <w:rPr>
          <w:rFonts w:ascii="Arial" w:hAnsi="Arial" w:cs="Arial"/>
        </w:rPr>
        <w:t xml:space="preserve"> </w:t>
      </w:r>
      <w:r w:rsidRPr="00531602">
        <w:rPr>
          <w:rFonts w:ascii="Arial" w:hAnsi="Arial" w:cs="Arial"/>
        </w:rPr>
        <w:t>was defined a</w:t>
      </w:r>
      <w:r>
        <w:rPr>
          <w:rFonts w:ascii="Arial" w:hAnsi="Arial" w:cs="Arial"/>
        </w:rPr>
        <w:t xml:space="preserve">s the number of links an individual had </w:t>
      </w:r>
      <w:r w:rsidRPr="00531602">
        <w:rPr>
          <w:rFonts w:ascii="Arial" w:hAnsi="Arial" w:cs="Arial"/>
        </w:rPr>
        <w:t>to other individuals</w:t>
      </w:r>
      <w:r>
        <w:rPr>
          <w:rFonts w:ascii="Arial" w:hAnsi="Arial" w:cs="Arial"/>
        </w:rPr>
        <w:t xml:space="preserve"> in the network</w:t>
      </w:r>
      <w:r w:rsidRPr="005316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Four degree distributions</w:t>
      </w:r>
      <w:r w:rsidRPr="0019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(Negative Binomial, </w:t>
      </w:r>
      <w:r w:rsidRPr="00F91EAF">
        <w:rPr>
          <w:rFonts w:ascii="Arial" w:hAnsi="Arial" w:cs="Arial"/>
        </w:rPr>
        <w:t>Pareto, Waring and Yule) w</w:t>
      </w:r>
      <w:r>
        <w:rPr>
          <w:rFonts w:ascii="Arial" w:hAnsi="Arial" w:cs="Arial"/>
        </w:rPr>
        <w:t>ere</w:t>
      </w:r>
      <w:r w:rsidRPr="00F91EAF">
        <w:rPr>
          <w:rFonts w:ascii="Arial" w:hAnsi="Arial" w:cs="Arial"/>
        </w:rPr>
        <w:t xml:space="preserve"> compared using</w:t>
      </w:r>
      <w:r>
        <w:rPr>
          <w:rFonts w:ascii="Arial" w:hAnsi="Arial" w:cs="Arial"/>
        </w:rPr>
        <w:t xml:space="preserve"> the</w:t>
      </w:r>
      <w:r w:rsidRPr="00F91EAF">
        <w:rPr>
          <w:rFonts w:ascii="Arial" w:hAnsi="Arial" w:cs="Arial"/>
        </w:rPr>
        <w:t xml:space="preserve"> Bayesian </w:t>
      </w:r>
      <w:r>
        <w:rPr>
          <w:rFonts w:ascii="Arial" w:hAnsi="Arial" w:cs="Arial"/>
        </w:rPr>
        <w:t>I</w:t>
      </w:r>
      <w:r w:rsidRPr="00F91EAF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C</w:t>
      </w:r>
      <w:r w:rsidRPr="00F91EAF">
        <w:rPr>
          <w:rFonts w:ascii="Arial" w:hAnsi="Arial" w:cs="Arial"/>
        </w:rPr>
        <w:t>riterion.</w:t>
      </w:r>
      <w:r w:rsidRPr="00F91EAF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L</w:t>
      </w:r>
      <w:r w:rsidRPr="00F91EAF">
        <w:rPr>
          <w:rFonts w:ascii="Arial" w:hAnsi="Arial" w:cs="Arial"/>
          <w:iCs/>
          <w:color w:val="000000"/>
        </w:rPr>
        <w:t xml:space="preserve">ogistic regression </w:t>
      </w:r>
      <w:r>
        <w:rPr>
          <w:rFonts w:ascii="Arial" w:hAnsi="Arial" w:cs="Arial"/>
          <w:iCs/>
          <w:color w:val="000000"/>
        </w:rPr>
        <w:t xml:space="preserve">was </w:t>
      </w:r>
      <w:r w:rsidRPr="00F91EAF">
        <w:rPr>
          <w:rFonts w:ascii="Arial" w:hAnsi="Arial" w:cs="Arial"/>
          <w:iCs/>
          <w:color w:val="000000"/>
        </w:rPr>
        <w:t>used to identify factors associated with being highly connected</w:t>
      </w:r>
      <w:r>
        <w:rPr>
          <w:rFonts w:ascii="Arial" w:hAnsi="Arial" w:cs="Arial"/>
          <w:iCs/>
          <w:color w:val="000000"/>
        </w:rPr>
        <w:t xml:space="preserve"> (</w:t>
      </w:r>
      <w:r w:rsidRPr="001F644E">
        <w:rPr>
          <w:rFonts w:ascii="Arial" w:hAnsi="Arial" w:cs="Arial"/>
          <w:iCs/>
          <w:color w:val="000000"/>
          <w:u w:val="single"/>
        </w:rPr>
        <w:t>&gt;</w:t>
      </w:r>
      <w:r>
        <w:rPr>
          <w:rFonts w:ascii="Arial" w:hAnsi="Arial" w:cs="Arial"/>
          <w:iCs/>
          <w:color w:val="000000"/>
        </w:rPr>
        <w:t>3 links)</w:t>
      </w:r>
      <w:r w:rsidRPr="00F91EAF">
        <w:rPr>
          <w:rFonts w:ascii="Arial" w:hAnsi="Arial" w:cs="Arial"/>
          <w:iCs/>
          <w:color w:val="000000"/>
        </w:rPr>
        <w:t xml:space="preserve"> in the network.</w:t>
      </w:r>
    </w:p>
    <w:p w:rsidR="00EF1CF2" w:rsidRPr="00B0027F" w:rsidRDefault="00EF1CF2" w:rsidP="00EF1CF2">
      <w:pPr>
        <w:jc w:val="both"/>
        <w:rPr>
          <w:rFonts w:ascii="Arial" w:hAnsi="Arial" w:cs="Arial"/>
          <w:iCs/>
          <w:color w:val="000000"/>
        </w:rPr>
      </w:pPr>
    </w:p>
    <w:p w:rsidR="00FD4188" w:rsidRDefault="00FD4188" w:rsidP="00EF1CF2">
      <w:pPr>
        <w:jc w:val="both"/>
        <w:rPr>
          <w:rFonts w:ascii="Arial" w:eastAsia="Times New Roman" w:hAnsi="Arial" w:cs="Arial"/>
          <w:lang w:eastAsia="en-AU"/>
        </w:rPr>
      </w:pPr>
      <w:r w:rsidRPr="00582175">
        <w:rPr>
          <w:rFonts w:ascii="Arial" w:eastAsia="Times New Roman" w:hAnsi="Arial" w:cs="Arial"/>
          <w:b/>
          <w:lang w:eastAsia="en-AU"/>
        </w:rPr>
        <w:t xml:space="preserve">Results: </w:t>
      </w:r>
      <w:r w:rsidRPr="00582175">
        <w:rPr>
          <w:rFonts w:ascii="Arial" w:eastAsia="Times New Roman" w:hAnsi="Arial" w:cs="Arial"/>
          <w:lang w:eastAsia="en-AU"/>
        </w:rPr>
        <w:t xml:space="preserve">Among 234 participants (ATAHC, n=123; HITS-p, n=91; HITS-c, n=20), 60% had recently injected drugs and 17% had HCV/HIV co-infection. Overall, 64% (n=151) were un-linked, 21% (n=50) were linked to 1 or 2 individuals and 15% (n=33) were linked to 3 or more individuals. A negative binomial distribution provided the best fit of the degree distribution. Overall, 33% (13/39) of HCV/HIV co-infected participants were highly connected in the network, compared to 10% (20/195) with HCV alone. Being highly connected in the network was associated with HCV/HIV co-infection [odds ratio (OR) 4.77; 95%CI 2.10, 10.89] and being in prison [OR 2.94; 95%CI 0.14, 0.85]. </w:t>
      </w:r>
    </w:p>
    <w:p w:rsidR="00EF1CF2" w:rsidRPr="00B0027F" w:rsidRDefault="00EF1CF2" w:rsidP="00EF1CF2">
      <w:pPr>
        <w:jc w:val="both"/>
        <w:rPr>
          <w:rFonts w:ascii="Arial" w:eastAsia="Times New Roman" w:hAnsi="Arial" w:cs="Arial"/>
          <w:lang w:eastAsia="en-AU"/>
        </w:rPr>
      </w:pPr>
    </w:p>
    <w:p w:rsidR="00FD4188" w:rsidRPr="00767036" w:rsidRDefault="00FD4188" w:rsidP="00EF1CF2">
      <w:pPr>
        <w:jc w:val="both"/>
        <w:rPr>
          <w:rFonts w:ascii="Arial" w:hAnsi="Arial" w:cs="Arial"/>
        </w:rPr>
      </w:pPr>
      <w:r w:rsidRPr="003B40B4">
        <w:rPr>
          <w:rFonts w:ascii="Arial" w:hAnsi="Arial" w:cs="Arial"/>
          <w:b/>
        </w:rPr>
        <w:t>Conclusion:</w:t>
      </w:r>
      <w:r>
        <w:rPr>
          <w:rFonts w:ascii="Arial" w:hAnsi="Arial" w:cs="Arial"/>
          <w:b/>
        </w:rPr>
        <w:t xml:space="preserve"> </w:t>
      </w:r>
      <w:r w:rsidRPr="001F644E">
        <w:rPr>
          <w:rFonts w:ascii="Arial" w:hAnsi="Arial" w:cs="Arial"/>
        </w:rPr>
        <w:t>These data demonstrate that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3913DD">
        <w:rPr>
          <w:rFonts w:ascii="Arial" w:hAnsi="Arial" w:cs="Arial"/>
        </w:rPr>
        <w:t>equence data from</w:t>
      </w:r>
      <w:r>
        <w:rPr>
          <w:rFonts w:ascii="Arial" w:hAnsi="Arial" w:cs="Arial"/>
        </w:rPr>
        <w:t xml:space="preserve"> people with</w:t>
      </w:r>
      <w:r w:rsidRPr="003913DD">
        <w:rPr>
          <w:rFonts w:ascii="Arial" w:hAnsi="Arial" w:cs="Arial"/>
        </w:rPr>
        <w:t xml:space="preserve"> recent </w:t>
      </w:r>
      <w:r>
        <w:rPr>
          <w:rFonts w:ascii="Arial" w:hAnsi="Arial" w:cs="Arial"/>
        </w:rPr>
        <w:t>HCV infection</w:t>
      </w:r>
      <w:r w:rsidRPr="00391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be used</w:t>
      </w:r>
      <w:r w:rsidRPr="003913D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</w:t>
      </w:r>
      <w:r w:rsidRPr="003913DD">
        <w:rPr>
          <w:rFonts w:ascii="Arial" w:hAnsi="Arial" w:cs="Arial"/>
        </w:rPr>
        <w:t xml:space="preserve"> characteriz</w:t>
      </w:r>
      <w:r>
        <w:rPr>
          <w:rFonts w:ascii="Arial" w:hAnsi="Arial" w:cs="Arial"/>
        </w:rPr>
        <w:t>e</w:t>
      </w:r>
      <w:r w:rsidRPr="003913DD">
        <w:rPr>
          <w:rFonts w:ascii="Arial" w:hAnsi="Arial" w:cs="Arial"/>
        </w:rPr>
        <w:t xml:space="preserve"> highly connected transmission network</w:t>
      </w:r>
      <w:r>
        <w:rPr>
          <w:rFonts w:ascii="Arial" w:hAnsi="Arial" w:cs="Arial"/>
        </w:rPr>
        <w:t>s</w:t>
      </w:r>
      <w:r w:rsidRPr="003913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HIV infection and being in prison was associated with higher network connectivity.</w:t>
      </w:r>
    </w:p>
    <w:p w:rsidR="00435EA5" w:rsidRPr="00D755F5" w:rsidRDefault="00435EA5" w:rsidP="00EF1CF2">
      <w:pPr>
        <w:rPr>
          <w:rFonts w:ascii="Arial" w:hAnsi="Arial" w:cs="Arial"/>
        </w:rPr>
      </w:pPr>
    </w:p>
    <w:p w:rsidR="00435EA5" w:rsidRPr="00705AA8" w:rsidRDefault="00D755F5" w:rsidP="00EF1C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755F5">
        <w:rPr>
          <w:rFonts w:ascii="Arial" w:hAnsi="Arial" w:cs="Arial"/>
          <w:b/>
          <w:color w:val="000000"/>
        </w:rPr>
        <w:t>Disclosure of Interest Statement:</w:t>
      </w:r>
      <w:r w:rsidR="00705AA8">
        <w:rPr>
          <w:rFonts w:ascii="Arial" w:hAnsi="Arial" w:cs="Arial"/>
          <w:b/>
          <w:bCs/>
          <w:color w:val="000000"/>
        </w:rPr>
        <w:t xml:space="preserve"> </w:t>
      </w:r>
      <w:r w:rsidR="00705AA8" w:rsidRPr="00705AA8">
        <w:rPr>
          <w:rFonts w:ascii="Arial" w:hAnsi="Arial" w:cs="Arial"/>
          <w:color w:val="000000"/>
        </w:rPr>
        <w:t>The Kirby Institute is funded by the Australian Government Department of Health and Ageing.</w:t>
      </w:r>
      <w:r w:rsidR="00705AA8">
        <w:rPr>
          <w:rFonts w:ascii="Arial" w:hAnsi="Arial" w:cs="Arial"/>
          <w:color w:val="000000"/>
        </w:rPr>
        <w:t xml:space="preserve"> </w:t>
      </w:r>
    </w:p>
    <w:sectPr w:rsidR="00435EA5" w:rsidRPr="00705AA8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80" w:rsidRDefault="00FD5280" w:rsidP="006303EA">
      <w:r>
        <w:separator/>
      </w:r>
    </w:p>
  </w:endnote>
  <w:endnote w:type="continuationSeparator" w:id="0">
    <w:p w:rsidR="00FD5280" w:rsidRDefault="00FD5280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80" w:rsidRDefault="00FD5280" w:rsidP="006303EA">
      <w:r>
        <w:separator/>
      </w:r>
    </w:p>
  </w:footnote>
  <w:footnote w:type="continuationSeparator" w:id="0">
    <w:p w:rsidR="00FD5280" w:rsidRDefault="00FD5280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720D7"/>
    <w:rsid w:val="001731BA"/>
    <w:rsid w:val="0021121E"/>
    <w:rsid w:val="00254C5A"/>
    <w:rsid w:val="00376D19"/>
    <w:rsid w:val="00435EA5"/>
    <w:rsid w:val="005C51E2"/>
    <w:rsid w:val="006303EA"/>
    <w:rsid w:val="006D4409"/>
    <w:rsid w:val="00705AA8"/>
    <w:rsid w:val="00753449"/>
    <w:rsid w:val="00B32CC1"/>
    <w:rsid w:val="00B45670"/>
    <w:rsid w:val="00C30437"/>
    <w:rsid w:val="00C42CCB"/>
    <w:rsid w:val="00C53098"/>
    <w:rsid w:val="00D755F5"/>
    <w:rsid w:val="00DC6454"/>
    <w:rsid w:val="00EF1CF2"/>
    <w:rsid w:val="00F04EC5"/>
    <w:rsid w:val="00FA408B"/>
    <w:rsid w:val="00FD4188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D02A-1469-4F72-9AFB-5C620E7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4</cp:revision>
  <dcterms:created xsi:type="dcterms:W3CDTF">2015-06-18T01:52:00Z</dcterms:created>
  <dcterms:modified xsi:type="dcterms:W3CDTF">2015-06-23T00:04:00Z</dcterms:modified>
</cp:coreProperties>
</file>