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36C" w:rsidRDefault="001B2CC0" w:rsidP="001B2CC0">
      <w:pPr>
        <w:spacing w:after="0" w:line="240" w:lineRule="auto"/>
        <w:rPr>
          <w:rFonts w:ascii="Arial" w:eastAsia="MS PGothic" w:hAnsi="Arial" w:cs="Arial"/>
          <w:b/>
          <w:iCs/>
          <w:kern w:val="24"/>
          <w:sz w:val="24"/>
          <w:szCs w:val="24"/>
        </w:rPr>
      </w:pPr>
      <w:r w:rsidRPr="00A8140D">
        <w:rPr>
          <w:rFonts w:ascii="Arial" w:hAnsi="Arial" w:cs="Arial"/>
          <w:b/>
          <w:bCs/>
          <w:sz w:val="24"/>
          <w:szCs w:val="24"/>
        </w:rPr>
        <w:t xml:space="preserve">“IT’S NOT ONLY MY LIFE I GOT TO WORRY ABOUT”: </w:t>
      </w:r>
      <w:r w:rsidRPr="00A8140D">
        <w:rPr>
          <w:rFonts w:ascii="Arial" w:eastAsia="MS PGothic" w:hAnsi="Arial" w:cs="Arial"/>
          <w:b/>
          <w:iCs/>
          <w:kern w:val="24"/>
          <w:sz w:val="24"/>
          <w:szCs w:val="24"/>
        </w:rPr>
        <w:t>ACCOUNTS OF NEEDLE-SYRINGE SHARING AND NEGOTIATED SAFETY AMONG COUPLES WHO INJECT DRUGS</w:t>
      </w:r>
    </w:p>
    <w:p w:rsidR="001B2CC0" w:rsidRPr="00A8140D" w:rsidRDefault="001B2CC0" w:rsidP="001B2CC0">
      <w:pPr>
        <w:spacing w:after="0" w:line="240" w:lineRule="auto"/>
        <w:rPr>
          <w:rFonts w:ascii="Arial" w:hAnsi="Arial" w:cs="Arial"/>
          <w:b/>
          <w:bCs/>
          <w:sz w:val="24"/>
          <w:szCs w:val="24"/>
        </w:rPr>
      </w:pPr>
    </w:p>
    <w:p w:rsidR="009A6A99" w:rsidRPr="001D7C2C" w:rsidRDefault="009A6A99" w:rsidP="001B2CC0">
      <w:pPr>
        <w:spacing w:after="0" w:line="240" w:lineRule="auto"/>
        <w:rPr>
          <w:rFonts w:ascii="Arial" w:hAnsi="Arial" w:cs="Arial"/>
          <w:bCs/>
          <w:sz w:val="24"/>
          <w:szCs w:val="24"/>
          <w:u w:val="single"/>
        </w:rPr>
      </w:pPr>
      <w:proofErr w:type="spellStart"/>
      <w:r w:rsidRPr="00A8140D">
        <w:rPr>
          <w:rFonts w:ascii="Arial" w:hAnsi="Arial" w:cs="Arial"/>
          <w:bCs/>
          <w:sz w:val="24"/>
          <w:szCs w:val="24"/>
          <w:u w:val="single"/>
        </w:rPr>
        <w:t>Rance</w:t>
      </w:r>
      <w:proofErr w:type="spellEnd"/>
      <w:r w:rsidRPr="00A8140D">
        <w:rPr>
          <w:rFonts w:ascii="Arial" w:hAnsi="Arial" w:cs="Arial"/>
          <w:bCs/>
          <w:sz w:val="24"/>
          <w:szCs w:val="24"/>
          <w:u w:val="single"/>
        </w:rPr>
        <w:t xml:space="preserve"> J</w:t>
      </w:r>
      <w:r w:rsidR="00247087" w:rsidRPr="00A8140D">
        <w:rPr>
          <w:rFonts w:ascii="Arial" w:hAnsi="Arial" w:cs="Arial"/>
          <w:bCs/>
          <w:sz w:val="24"/>
          <w:szCs w:val="24"/>
          <w:vertAlign w:val="superscript"/>
        </w:rPr>
        <w:t>1</w:t>
      </w:r>
      <w:r w:rsidR="001D7C2C" w:rsidRPr="001D7C2C">
        <w:rPr>
          <w:rFonts w:ascii="Arial" w:hAnsi="Arial" w:cs="Arial"/>
          <w:bCs/>
          <w:sz w:val="24"/>
          <w:szCs w:val="24"/>
        </w:rPr>
        <w:t xml:space="preserve">, </w:t>
      </w:r>
      <w:proofErr w:type="spellStart"/>
      <w:r w:rsidRPr="00A8140D">
        <w:rPr>
          <w:rFonts w:ascii="Arial" w:hAnsi="Arial" w:cs="Arial"/>
          <w:bCs/>
          <w:sz w:val="24"/>
          <w:szCs w:val="24"/>
        </w:rPr>
        <w:t>Treloar</w:t>
      </w:r>
      <w:proofErr w:type="spellEnd"/>
      <w:r w:rsidRPr="00A8140D">
        <w:rPr>
          <w:rFonts w:ascii="Arial" w:hAnsi="Arial" w:cs="Arial"/>
          <w:bCs/>
          <w:sz w:val="24"/>
          <w:szCs w:val="24"/>
        </w:rPr>
        <w:t xml:space="preserve"> C</w:t>
      </w:r>
      <w:r w:rsidR="00247087" w:rsidRPr="00A8140D">
        <w:rPr>
          <w:rFonts w:ascii="Arial" w:hAnsi="Arial" w:cs="Arial"/>
          <w:bCs/>
          <w:sz w:val="24"/>
          <w:szCs w:val="24"/>
          <w:vertAlign w:val="superscript"/>
        </w:rPr>
        <w:t>1</w:t>
      </w:r>
      <w:r w:rsidR="001D7C2C">
        <w:rPr>
          <w:rFonts w:ascii="Arial" w:hAnsi="Arial" w:cs="Arial"/>
          <w:bCs/>
          <w:sz w:val="24"/>
          <w:szCs w:val="24"/>
        </w:rPr>
        <w:t xml:space="preserve">, </w:t>
      </w:r>
      <w:r w:rsidRPr="00A8140D">
        <w:rPr>
          <w:rFonts w:ascii="Arial" w:hAnsi="Arial" w:cs="Arial"/>
          <w:bCs/>
          <w:sz w:val="24"/>
          <w:szCs w:val="24"/>
        </w:rPr>
        <w:t>Rhodes T</w:t>
      </w:r>
      <w:r w:rsidR="00247087" w:rsidRPr="00A8140D">
        <w:rPr>
          <w:rFonts w:ascii="Arial" w:hAnsi="Arial" w:cs="Arial"/>
          <w:bCs/>
          <w:sz w:val="24"/>
          <w:szCs w:val="24"/>
          <w:vertAlign w:val="superscript"/>
        </w:rPr>
        <w:t>2</w:t>
      </w:r>
      <w:r w:rsidR="001D7C2C">
        <w:rPr>
          <w:rFonts w:ascii="Arial" w:hAnsi="Arial" w:cs="Arial"/>
          <w:bCs/>
          <w:sz w:val="24"/>
          <w:szCs w:val="24"/>
        </w:rPr>
        <w:t xml:space="preserve">, </w:t>
      </w:r>
      <w:r w:rsidRPr="00A8140D">
        <w:rPr>
          <w:rFonts w:ascii="Arial" w:hAnsi="Arial" w:cs="Arial"/>
          <w:bCs/>
          <w:sz w:val="24"/>
          <w:szCs w:val="24"/>
        </w:rPr>
        <w:t>Bryant J</w:t>
      </w:r>
      <w:r w:rsidR="00247087" w:rsidRPr="00A8140D">
        <w:rPr>
          <w:rFonts w:ascii="Arial" w:hAnsi="Arial" w:cs="Arial"/>
          <w:bCs/>
          <w:sz w:val="24"/>
          <w:szCs w:val="24"/>
          <w:vertAlign w:val="superscript"/>
        </w:rPr>
        <w:t>1</w:t>
      </w:r>
      <w:r w:rsidR="001D7C2C">
        <w:rPr>
          <w:rFonts w:ascii="Arial" w:hAnsi="Arial" w:cs="Arial"/>
          <w:bCs/>
          <w:sz w:val="24"/>
          <w:szCs w:val="24"/>
        </w:rPr>
        <w:t xml:space="preserve">, </w:t>
      </w:r>
      <w:r w:rsidRPr="00A8140D">
        <w:rPr>
          <w:rFonts w:ascii="Arial" w:hAnsi="Arial" w:cs="Arial"/>
          <w:bCs/>
          <w:sz w:val="24"/>
          <w:szCs w:val="24"/>
        </w:rPr>
        <w:t>Fraser S</w:t>
      </w:r>
      <w:r w:rsidR="00247087" w:rsidRPr="00A8140D">
        <w:rPr>
          <w:rFonts w:ascii="Arial" w:hAnsi="Arial" w:cs="Arial"/>
          <w:bCs/>
          <w:sz w:val="24"/>
          <w:szCs w:val="24"/>
          <w:vertAlign w:val="superscript"/>
        </w:rPr>
        <w:t>3</w:t>
      </w:r>
    </w:p>
    <w:p w:rsidR="009A6A99" w:rsidRPr="00A8140D" w:rsidRDefault="009A6A99" w:rsidP="001B2CC0">
      <w:pPr>
        <w:spacing w:after="0" w:line="240" w:lineRule="auto"/>
        <w:rPr>
          <w:rFonts w:ascii="Arial" w:hAnsi="Arial" w:cs="Arial"/>
          <w:bCs/>
          <w:sz w:val="24"/>
          <w:szCs w:val="24"/>
        </w:rPr>
      </w:pPr>
      <w:bookmarkStart w:id="0" w:name="_GoBack"/>
      <w:bookmarkEnd w:id="0"/>
    </w:p>
    <w:p w:rsidR="009A6A99" w:rsidRPr="00A8140D" w:rsidRDefault="00247087" w:rsidP="001B2CC0">
      <w:pPr>
        <w:spacing w:after="0" w:line="240" w:lineRule="auto"/>
        <w:rPr>
          <w:rFonts w:ascii="Arial" w:hAnsi="Arial" w:cs="Arial"/>
          <w:bCs/>
          <w:sz w:val="24"/>
          <w:szCs w:val="24"/>
        </w:rPr>
      </w:pPr>
      <w:r w:rsidRPr="00A8140D">
        <w:rPr>
          <w:rFonts w:ascii="Arial" w:hAnsi="Arial" w:cs="Arial"/>
          <w:bCs/>
          <w:sz w:val="24"/>
          <w:szCs w:val="24"/>
          <w:vertAlign w:val="superscript"/>
        </w:rPr>
        <w:t>1</w:t>
      </w:r>
      <w:r w:rsidRPr="00A8140D">
        <w:rPr>
          <w:rFonts w:ascii="Arial" w:hAnsi="Arial" w:cs="Arial"/>
          <w:bCs/>
          <w:sz w:val="24"/>
          <w:szCs w:val="24"/>
        </w:rPr>
        <w:t xml:space="preserve"> Centre for Social Research in Health, Faculty of Arts and Social Sciences, University of New South Wales, Sydney, Australia</w:t>
      </w:r>
    </w:p>
    <w:p w:rsidR="00247087" w:rsidRPr="00A8140D" w:rsidRDefault="00247087" w:rsidP="001B2CC0">
      <w:pPr>
        <w:spacing w:after="0" w:line="240" w:lineRule="auto"/>
        <w:rPr>
          <w:rFonts w:ascii="Arial" w:hAnsi="Arial" w:cs="Arial"/>
          <w:bCs/>
          <w:sz w:val="24"/>
          <w:szCs w:val="24"/>
        </w:rPr>
      </w:pPr>
      <w:r w:rsidRPr="00A8140D">
        <w:rPr>
          <w:rFonts w:ascii="Arial" w:hAnsi="Arial" w:cs="Arial"/>
          <w:bCs/>
          <w:sz w:val="24"/>
          <w:szCs w:val="24"/>
          <w:vertAlign w:val="superscript"/>
        </w:rPr>
        <w:t xml:space="preserve">2 </w:t>
      </w:r>
      <w:proofErr w:type="gramStart"/>
      <w:r w:rsidRPr="00A8140D">
        <w:rPr>
          <w:rFonts w:ascii="Arial" w:hAnsi="Arial" w:cs="Arial"/>
          <w:bCs/>
          <w:sz w:val="24"/>
          <w:szCs w:val="24"/>
        </w:rPr>
        <w:t>Centre</w:t>
      </w:r>
      <w:proofErr w:type="gramEnd"/>
      <w:r w:rsidRPr="00A8140D">
        <w:rPr>
          <w:rFonts w:ascii="Arial" w:hAnsi="Arial" w:cs="Arial"/>
          <w:bCs/>
          <w:sz w:val="24"/>
          <w:szCs w:val="24"/>
        </w:rPr>
        <w:t xml:space="preserve"> for Research on Drugs and Health Behaviour, London School of </w:t>
      </w:r>
      <w:r w:rsidR="00BE7020" w:rsidRPr="00A8140D">
        <w:rPr>
          <w:rFonts w:ascii="Arial" w:hAnsi="Arial" w:cs="Arial"/>
          <w:bCs/>
          <w:sz w:val="24"/>
          <w:szCs w:val="24"/>
        </w:rPr>
        <w:t>Hygiene and Tropical Medicine, London, UK.</w:t>
      </w:r>
    </w:p>
    <w:p w:rsidR="00247087" w:rsidRPr="00A8140D" w:rsidRDefault="00247087" w:rsidP="001B2CC0">
      <w:pPr>
        <w:spacing w:after="0" w:line="240" w:lineRule="auto"/>
        <w:rPr>
          <w:rFonts w:ascii="Arial" w:hAnsi="Arial" w:cs="Arial"/>
          <w:bCs/>
          <w:sz w:val="24"/>
          <w:szCs w:val="24"/>
        </w:rPr>
      </w:pPr>
      <w:r w:rsidRPr="00A8140D">
        <w:rPr>
          <w:rFonts w:ascii="Arial" w:hAnsi="Arial" w:cs="Arial"/>
          <w:bCs/>
          <w:sz w:val="24"/>
          <w:szCs w:val="24"/>
          <w:vertAlign w:val="superscript"/>
        </w:rPr>
        <w:t xml:space="preserve">3 </w:t>
      </w:r>
      <w:r w:rsidRPr="00A8140D">
        <w:rPr>
          <w:rFonts w:ascii="Arial" w:hAnsi="Arial" w:cs="Arial"/>
          <w:bCs/>
          <w:sz w:val="24"/>
          <w:szCs w:val="24"/>
        </w:rPr>
        <w:t>National Drug Research Institute, Faculty of Health Sciences, Curtin University, Melbourne, Australia</w:t>
      </w:r>
    </w:p>
    <w:p w:rsidR="00247087" w:rsidRPr="00A8140D" w:rsidRDefault="00247087" w:rsidP="001B2CC0">
      <w:pPr>
        <w:spacing w:after="0" w:line="240" w:lineRule="auto"/>
        <w:rPr>
          <w:rFonts w:ascii="Arial" w:hAnsi="Arial" w:cs="Arial"/>
          <w:bCs/>
          <w:sz w:val="24"/>
          <w:szCs w:val="24"/>
        </w:rPr>
      </w:pPr>
    </w:p>
    <w:p w:rsidR="009A6A99" w:rsidRPr="00542E41" w:rsidRDefault="009A6A99" w:rsidP="001B2CC0">
      <w:pPr>
        <w:spacing w:after="0" w:line="240" w:lineRule="auto"/>
        <w:rPr>
          <w:rFonts w:ascii="Arial" w:eastAsia="Times New Roman" w:hAnsi="Arial" w:cs="Arial"/>
          <w:bCs/>
          <w:sz w:val="24"/>
          <w:szCs w:val="24"/>
        </w:rPr>
      </w:pPr>
      <w:r w:rsidRPr="001B2CC0">
        <w:rPr>
          <w:rFonts w:ascii="Arial" w:hAnsi="Arial" w:cs="Arial"/>
          <w:b/>
          <w:bCs/>
          <w:sz w:val="24"/>
          <w:szCs w:val="24"/>
        </w:rPr>
        <w:t>Background</w:t>
      </w:r>
      <w:r w:rsidR="00A8140D">
        <w:rPr>
          <w:rFonts w:ascii="Arial" w:hAnsi="Arial" w:cs="Arial"/>
          <w:bCs/>
          <w:sz w:val="24"/>
          <w:szCs w:val="24"/>
        </w:rPr>
        <w:t>:</w:t>
      </w:r>
      <w:r w:rsidR="001B2CC0">
        <w:rPr>
          <w:rFonts w:ascii="Arial" w:hAnsi="Arial" w:cs="Arial"/>
          <w:bCs/>
          <w:sz w:val="24"/>
          <w:szCs w:val="24"/>
        </w:rPr>
        <w:t xml:space="preserve"> </w:t>
      </w:r>
      <w:r w:rsidR="00542E41">
        <w:rPr>
          <w:rFonts w:ascii="Arial" w:eastAsia="Times New Roman" w:hAnsi="Arial" w:cs="Arial"/>
          <w:bCs/>
          <w:noProof/>
          <w:sz w:val="24"/>
          <w:szCs w:val="24"/>
        </w:rPr>
        <w:t>The</w:t>
      </w:r>
      <w:r w:rsidR="00A8140D" w:rsidRPr="00A8140D">
        <w:rPr>
          <w:rFonts w:ascii="Arial" w:eastAsia="Times New Roman" w:hAnsi="Arial" w:cs="Arial"/>
          <w:bCs/>
          <w:sz w:val="24"/>
          <w:szCs w:val="24"/>
        </w:rPr>
        <w:t xml:space="preserve"> intimate partnerships of people who inject drugs</w:t>
      </w:r>
      <w:r w:rsidR="00CF62F5">
        <w:rPr>
          <w:rFonts w:ascii="Arial" w:eastAsia="Times New Roman" w:hAnsi="Arial" w:cs="Arial"/>
          <w:bCs/>
          <w:sz w:val="24"/>
          <w:szCs w:val="24"/>
        </w:rPr>
        <w:t xml:space="preserve"> function</w:t>
      </w:r>
      <w:r w:rsidR="00A8140D" w:rsidRPr="00A8140D">
        <w:rPr>
          <w:rFonts w:ascii="Arial" w:eastAsia="Times New Roman" w:hAnsi="Arial" w:cs="Arial"/>
          <w:bCs/>
          <w:sz w:val="24"/>
          <w:szCs w:val="24"/>
        </w:rPr>
        <w:t xml:space="preserve"> as crucial sources of care, support and stability </w:t>
      </w:r>
      <w:r w:rsidR="00A8140D" w:rsidRPr="00A8140D">
        <w:rPr>
          <w:rFonts w:ascii="Arial" w:eastAsia="Times New Roman" w:hAnsi="Arial" w:cs="Arial"/>
          <w:bCs/>
          <w:i/>
          <w:sz w:val="24"/>
          <w:szCs w:val="24"/>
        </w:rPr>
        <w:t>and</w:t>
      </w:r>
      <w:r w:rsidR="00A8140D" w:rsidRPr="00A8140D">
        <w:rPr>
          <w:rFonts w:ascii="Arial" w:eastAsia="Times New Roman" w:hAnsi="Arial" w:cs="Arial"/>
          <w:bCs/>
          <w:sz w:val="24"/>
          <w:szCs w:val="24"/>
        </w:rPr>
        <w:t xml:space="preserve"> influential sources of practice</w:t>
      </w:r>
      <w:r w:rsidR="00CF62F5">
        <w:rPr>
          <w:rFonts w:ascii="Arial" w:eastAsia="Times New Roman" w:hAnsi="Arial" w:cs="Arial"/>
          <w:bCs/>
          <w:sz w:val="24"/>
          <w:szCs w:val="24"/>
        </w:rPr>
        <w:t xml:space="preserve"> – including those negotiated around drug use – yet </w:t>
      </w:r>
      <w:r w:rsidR="00A8140D" w:rsidRPr="00A8140D">
        <w:rPr>
          <w:rFonts w:ascii="Arial" w:eastAsia="Times New Roman" w:hAnsi="Arial" w:cs="Arial"/>
          <w:bCs/>
          <w:sz w:val="24"/>
          <w:szCs w:val="24"/>
        </w:rPr>
        <w:t>have been largely overlooked</w:t>
      </w:r>
      <w:r w:rsidR="00542E41">
        <w:rPr>
          <w:rFonts w:ascii="Arial" w:eastAsia="Times New Roman" w:hAnsi="Arial" w:cs="Arial"/>
          <w:bCs/>
          <w:sz w:val="24"/>
          <w:szCs w:val="24"/>
        </w:rPr>
        <w:t xml:space="preserve"> in the literature</w:t>
      </w:r>
      <w:r w:rsidR="00A8140D">
        <w:rPr>
          <w:rFonts w:ascii="Arial" w:eastAsia="Times New Roman" w:hAnsi="Arial" w:cs="Arial"/>
          <w:bCs/>
          <w:sz w:val="24"/>
          <w:szCs w:val="24"/>
        </w:rPr>
        <w:t>.</w:t>
      </w:r>
      <w:r w:rsidR="00542E41" w:rsidRPr="00542E41">
        <w:rPr>
          <w:rFonts w:ascii="Arial" w:hAnsi="Arial" w:cs="Arial"/>
          <w:bCs/>
          <w:sz w:val="24"/>
          <w:szCs w:val="24"/>
        </w:rPr>
        <w:t xml:space="preserve"> </w:t>
      </w:r>
      <w:r w:rsidR="00DD5636" w:rsidRPr="00DD5636">
        <w:rPr>
          <w:rFonts w:ascii="Arial" w:hAnsi="Arial" w:cs="Arial"/>
          <w:sz w:val="24"/>
          <w:szCs w:val="24"/>
        </w:rPr>
        <w:t xml:space="preserve">Borrowing and refashioning the concept of ‘negotiated safety’ from its origins in gay men’s </w:t>
      </w:r>
      <w:r w:rsidR="00DD5636">
        <w:rPr>
          <w:rFonts w:ascii="Arial" w:hAnsi="Arial" w:cs="Arial"/>
          <w:sz w:val="24"/>
          <w:szCs w:val="24"/>
        </w:rPr>
        <w:t>HIV-prevention practice</w:t>
      </w:r>
      <w:r w:rsidR="00DD5636" w:rsidRPr="00DD5636">
        <w:rPr>
          <w:rFonts w:ascii="Arial" w:hAnsi="Arial" w:cs="Arial"/>
          <w:sz w:val="24"/>
          <w:szCs w:val="24"/>
        </w:rPr>
        <w:t xml:space="preserve">, we examine how our </w:t>
      </w:r>
      <w:r w:rsidR="00DD5636" w:rsidRPr="00DD5636">
        <w:rPr>
          <w:rFonts w:ascii="Arial" w:hAnsi="Arial" w:cs="Arial"/>
          <w:color w:val="000000"/>
          <w:sz w:val="24"/>
          <w:szCs w:val="24"/>
        </w:rPr>
        <w:t>participants endeavoured to co-create meaningful practices of care and safety – including those concerned with navigating and maintaining intimacy as well as viral management – in response to their lived contexts.</w:t>
      </w:r>
    </w:p>
    <w:p w:rsidR="009A6A99" w:rsidRPr="00A8140D" w:rsidRDefault="009A6A99" w:rsidP="001B2CC0">
      <w:pPr>
        <w:spacing w:after="0" w:line="240" w:lineRule="auto"/>
        <w:rPr>
          <w:rFonts w:ascii="Arial" w:hAnsi="Arial" w:cs="Arial"/>
          <w:bCs/>
          <w:sz w:val="24"/>
          <w:szCs w:val="24"/>
        </w:rPr>
      </w:pPr>
    </w:p>
    <w:p w:rsidR="00F4139F" w:rsidRPr="00542E41" w:rsidRDefault="009A6A99" w:rsidP="001B2CC0">
      <w:pPr>
        <w:spacing w:after="0" w:line="240" w:lineRule="auto"/>
        <w:rPr>
          <w:rFonts w:ascii="Arial" w:hAnsi="Arial" w:cs="Arial"/>
          <w:sz w:val="24"/>
          <w:szCs w:val="24"/>
        </w:rPr>
      </w:pPr>
      <w:r w:rsidRPr="001B2CC0">
        <w:rPr>
          <w:rFonts w:ascii="Arial" w:hAnsi="Arial" w:cs="Arial"/>
          <w:b/>
          <w:bCs/>
          <w:sz w:val="24"/>
          <w:szCs w:val="24"/>
        </w:rPr>
        <w:t>Methods</w:t>
      </w:r>
      <w:r w:rsidRPr="00A8140D">
        <w:rPr>
          <w:rFonts w:ascii="Arial" w:hAnsi="Arial" w:cs="Arial"/>
          <w:bCs/>
          <w:sz w:val="24"/>
          <w:szCs w:val="24"/>
        </w:rPr>
        <w:t>:</w:t>
      </w:r>
      <w:r w:rsidR="001B2CC0">
        <w:rPr>
          <w:rFonts w:ascii="Arial" w:hAnsi="Arial" w:cs="Arial"/>
          <w:bCs/>
          <w:sz w:val="24"/>
          <w:szCs w:val="24"/>
        </w:rPr>
        <w:t xml:space="preserve"> </w:t>
      </w:r>
      <w:r w:rsidR="00BA265F">
        <w:rPr>
          <w:rFonts w:ascii="Arial" w:eastAsia="MS PGothic" w:hAnsi="Arial" w:cs="Arial"/>
          <w:kern w:val="24"/>
          <w:sz w:val="24"/>
          <w:szCs w:val="24"/>
        </w:rPr>
        <w:t>We</w:t>
      </w:r>
      <w:r w:rsidR="00896D42" w:rsidRPr="00542E41">
        <w:rPr>
          <w:rFonts w:ascii="Arial" w:eastAsia="MS PGothic" w:hAnsi="Arial" w:cs="Arial"/>
          <w:kern w:val="24"/>
          <w:sz w:val="24"/>
          <w:szCs w:val="24"/>
        </w:rPr>
        <w:t xml:space="preserve"> </w:t>
      </w:r>
      <w:r w:rsidR="00BA265F">
        <w:rPr>
          <w:rFonts w:ascii="Arial" w:eastAsia="MS PGothic" w:hAnsi="Arial" w:cs="Arial"/>
          <w:kern w:val="24"/>
          <w:sz w:val="24"/>
          <w:szCs w:val="24"/>
        </w:rPr>
        <w:t>draw</w:t>
      </w:r>
      <w:r w:rsidR="00896D42" w:rsidRPr="00542E41">
        <w:rPr>
          <w:rFonts w:ascii="Arial" w:eastAsia="MS PGothic" w:hAnsi="Arial" w:cs="Arial"/>
          <w:kern w:val="24"/>
          <w:sz w:val="24"/>
          <w:szCs w:val="24"/>
        </w:rPr>
        <w:t xml:space="preserve"> on 34 interviews </w:t>
      </w:r>
      <w:r w:rsidR="00BA265F">
        <w:rPr>
          <w:rFonts w:ascii="Arial" w:eastAsia="MS PGothic" w:hAnsi="Arial" w:cs="Arial"/>
          <w:kern w:val="24"/>
          <w:sz w:val="24"/>
          <w:szCs w:val="24"/>
        </w:rPr>
        <w:t xml:space="preserve">conducted </w:t>
      </w:r>
      <w:r w:rsidR="00896D42" w:rsidRPr="00542E41">
        <w:rPr>
          <w:rFonts w:ascii="Arial" w:eastAsia="MS PGothic" w:hAnsi="Arial" w:cs="Arial"/>
          <w:kern w:val="24"/>
          <w:sz w:val="24"/>
          <w:szCs w:val="24"/>
        </w:rPr>
        <w:t xml:space="preserve">with heterosexual couples who inject drugs as part as of a broader qualitative research project examining the understanding and prevention of hepatitis C transmission within sexual partnerships. </w:t>
      </w:r>
      <w:r w:rsidR="00DD5636">
        <w:rPr>
          <w:rFonts w:ascii="Arial" w:eastAsia="MS PGothic" w:hAnsi="Arial" w:cs="Arial"/>
          <w:kern w:val="24"/>
          <w:sz w:val="24"/>
          <w:szCs w:val="24"/>
        </w:rPr>
        <w:t xml:space="preserve">We </w:t>
      </w:r>
      <w:r w:rsidR="00F4139F" w:rsidRPr="00542E41">
        <w:rPr>
          <w:rFonts w:ascii="Arial" w:hAnsi="Arial" w:cs="Arial"/>
          <w:sz w:val="24"/>
          <w:szCs w:val="24"/>
        </w:rPr>
        <w:t>explore a key theme</w:t>
      </w:r>
      <w:r w:rsidR="00896D42" w:rsidRPr="00542E41">
        <w:rPr>
          <w:rFonts w:ascii="Arial" w:hAnsi="Arial" w:cs="Arial"/>
          <w:sz w:val="24"/>
          <w:szCs w:val="24"/>
        </w:rPr>
        <w:t xml:space="preserve"> </w:t>
      </w:r>
      <w:r w:rsidR="00CF62F5">
        <w:rPr>
          <w:rFonts w:ascii="Arial" w:hAnsi="Arial" w:cs="Arial"/>
          <w:sz w:val="24"/>
          <w:szCs w:val="24"/>
        </w:rPr>
        <w:t>emerging</w:t>
      </w:r>
      <w:r w:rsidR="00896D42" w:rsidRPr="00542E41">
        <w:rPr>
          <w:rFonts w:ascii="Arial" w:hAnsi="Arial" w:cs="Arial"/>
          <w:sz w:val="24"/>
          <w:szCs w:val="24"/>
        </w:rPr>
        <w:t xml:space="preserve"> from the data</w:t>
      </w:r>
      <w:r w:rsidR="00F4139F" w:rsidRPr="00542E41">
        <w:rPr>
          <w:rFonts w:ascii="Arial" w:hAnsi="Arial" w:cs="Arial"/>
          <w:sz w:val="24"/>
          <w:szCs w:val="24"/>
        </w:rPr>
        <w:t>: the sharing of needle-syringes between intimate partners</w:t>
      </w:r>
      <w:r w:rsidR="00896D42" w:rsidRPr="00542E41">
        <w:rPr>
          <w:rFonts w:ascii="Arial" w:hAnsi="Arial" w:cs="Arial"/>
          <w:sz w:val="24"/>
          <w:szCs w:val="24"/>
        </w:rPr>
        <w:t>.</w:t>
      </w:r>
    </w:p>
    <w:p w:rsidR="009A6A99" w:rsidRPr="00A8140D" w:rsidRDefault="009A6A99" w:rsidP="001B2CC0">
      <w:pPr>
        <w:spacing w:after="0" w:line="240" w:lineRule="auto"/>
        <w:rPr>
          <w:rFonts w:ascii="Arial" w:hAnsi="Arial" w:cs="Arial"/>
          <w:bCs/>
          <w:sz w:val="24"/>
          <w:szCs w:val="24"/>
        </w:rPr>
      </w:pPr>
    </w:p>
    <w:p w:rsidR="009A6A99" w:rsidRPr="00BA265F" w:rsidRDefault="009A6A99" w:rsidP="001B2CC0">
      <w:pPr>
        <w:spacing w:after="0" w:line="240" w:lineRule="auto"/>
        <w:rPr>
          <w:rFonts w:ascii="Arial" w:hAnsi="Arial" w:cs="Arial"/>
          <w:bCs/>
          <w:sz w:val="24"/>
          <w:szCs w:val="24"/>
        </w:rPr>
      </w:pPr>
      <w:r w:rsidRPr="001B2CC0">
        <w:rPr>
          <w:rFonts w:ascii="Arial" w:hAnsi="Arial" w:cs="Arial"/>
          <w:b/>
          <w:bCs/>
          <w:sz w:val="24"/>
          <w:szCs w:val="24"/>
        </w:rPr>
        <w:t>Results</w:t>
      </w:r>
      <w:r w:rsidRPr="00BA265F">
        <w:rPr>
          <w:rFonts w:ascii="Arial" w:hAnsi="Arial" w:cs="Arial"/>
          <w:bCs/>
          <w:sz w:val="24"/>
          <w:szCs w:val="24"/>
        </w:rPr>
        <w:t>:</w:t>
      </w:r>
      <w:r w:rsidR="001B2CC0">
        <w:rPr>
          <w:rFonts w:ascii="Arial" w:hAnsi="Arial" w:cs="Arial"/>
          <w:bCs/>
          <w:sz w:val="24"/>
          <w:szCs w:val="24"/>
        </w:rPr>
        <w:t xml:space="preserve"> </w:t>
      </w:r>
      <w:r w:rsidR="00BA265F" w:rsidRPr="00BA265F">
        <w:rPr>
          <w:rFonts w:ascii="Arial" w:hAnsi="Arial" w:cs="Arial"/>
          <w:sz w:val="24"/>
          <w:szCs w:val="24"/>
        </w:rPr>
        <w:t xml:space="preserve">For couples who inject drugs, negotiating safety is a complex, and at times contradictory process, involving the balancing or prioritising of multifarious, often competing, risks. </w:t>
      </w:r>
      <w:r w:rsidR="00BA265F" w:rsidRPr="00BA265F">
        <w:rPr>
          <w:rFonts w:ascii="Arial" w:hAnsi="Arial" w:cs="Arial"/>
          <w:iCs/>
          <w:sz w:val="24"/>
          <w:szCs w:val="24"/>
        </w:rPr>
        <w:t>For all our participants, negotiating safety required balancing the emotional dimensions of partnership alongside its pragmatic functions. The day-to-</w:t>
      </w:r>
      <w:proofErr w:type="gramStart"/>
      <w:r w:rsidR="00BA265F" w:rsidRPr="00BA265F">
        <w:rPr>
          <w:rFonts w:ascii="Arial" w:hAnsi="Arial" w:cs="Arial"/>
          <w:iCs/>
          <w:sz w:val="24"/>
          <w:szCs w:val="24"/>
        </w:rPr>
        <w:t>day</w:t>
      </w:r>
      <w:proofErr w:type="gramEnd"/>
      <w:r w:rsidR="00BA265F" w:rsidRPr="00BA265F">
        <w:rPr>
          <w:rFonts w:ascii="Arial" w:hAnsi="Arial" w:cs="Arial"/>
          <w:iCs/>
          <w:sz w:val="24"/>
          <w:szCs w:val="24"/>
        </w:rPr>
        <w:t xml:space="preserve"> management of risk and the negotiation of safety </w:t>
      </w:r>
      <w:r w:rsidR="00BA265F">
        <w:rPr>
          <w:rFonts w:ascii="Arial" w:hAnsi="Arial" w:cs="Arial"/>
          <w:iCs/>
          <w:sz w:val="24"/>
          <w:szCs w:val="24"/>
        </w:rPr>
        <w:t xml:space="preserve">need to be understood as </w:t>
      </w:r>
      <w:r w:rsidR="00BA265F" w:rsidRPr="00BA265F">
        <w:rPr>
          <w:rFonts w:ascii="Arial" w:hAnsi="Arial" w:cs="Arial"/>
          <w:iCs/>
          <w:sz w:val="24"/>
          <w:szCs w:val="24"/>
        </w:rPr>
        <w:t xml:space="preserve">not merely </w:t>
      </w:r>
      <w:r w:rsidR="00BA265F" w:rsidRPr="00BA265F">
        <w:rPr>
          <w:rFonts w:ascii="Arial" w:hAnsi="Arial" w:cs="Arial"/>
          <w:i/>
          <w:iCs/>
          <w:sz w:val="24"/>
          <w:szCs w:val="24"/>
        </w:rPr>
        <w:t>occurring</w:t>
      </w:r>
      <w:r w:rsidR="00BA265F" w:rsidRPr="00BA265F">
        <w:rPr>
          <w:rFonts w:ascii="Arial" w:hAnsi="Arial" w:cs="Arial"/>
          <w:iCs/>
          <w:sz w:val="24"/>
          <w:szCs w:val="24"/>
        </w:rPr>
        <w:t xml:space="preserve"> within partnerships, but </w:t>
      </w:r>
      <w:r w:rsidR="00BA265F">
        <w:rPr>
          <w:rFonts w:ascii="Arial" w:hAnsi="Arial" w:cs="Arial"/>
          <w:iCs/>
          <w:sz w:val="24"/>
          <w:szCs w:val="24"/>
        </w:rPr>
        <w:t xml:space="preserve">as </w:t>
      </w:r>
      <w:r w:rsidR="00BA265F" w:rsidRPr="00BA265F">
        <w:rPr>
          <w:rFonts w:ascii="Arial" w:hAnsi="Arial" w:cs="Arial"/>
          <w:iCs/>
          <w:sz w:val="24"/>
          <w:szCs w:val="24"/>
        </w:rPr>
        <w:t xml:space="preserve">actively </w:t>
      </w:r>
      <w:r w:rsidR="00E54C72">
        <w:rPr>
          <w:rFonts w:ascii="Arial" w:hAnsi="Arial" w:cs="Arial"/>
          <w:i/>
          <w:iCs/>
          <w:sz w:val="24"/>
          <w:szCs w:val="24"/>
        </w:rPr>
        <w:t>doing</w:t>
      </w:r>
      <w:r w:rsidR="00E54C72">
        <w:rPr>
          <w:rFonts w:ascii="Arial" w:hAnsi="Arial" w:cs="Arial"/>
          <w:iCs/>
          <w:sz w:val="24"/>
          <w:szCs w:val="24"/>
        </w:rPr>
        <w:t xml:space="preserve"> or </w:t>
      </w:r>
      <w:r w:rsidR="00BA265F">
        <w:rPr>
          <w:rFonts w:ascii="Arial" w:hAnsi="Arial" w:cs="Arial"/>
          <w:i/>
          <w:iCs/>
          <w:sz w:val="24"/>
          <w:szCs w:val="24"/>
        </w:rPr>
        <w:t>enacting</w:t>
      </w:r>
      <w:r w:rsidR="00BA265F" w:rsidRPr="00BA265F">
        <w:rPr>
          <w:rFonts w:ascii="Arial" w:hAnsi="Arial" w:cs="Arial"/>
          <w:iCs/>
          <w:sz w:val="24"/>
          <w:szCs w:val="24"/>
        </w:rPr>
        <w:t xml:space="preserve"> them. </w:t>
      </w:r>
    </w:p>
    <w:p w:rsidR="00CF62F5" w:rsidRDefault="00CF62F5" w:rsidP="001B2CC0">
      <w:pPr>
        <w:spacing w:after="0" w:line="240" w:lineRule="auto"/>
        <w:rPr>
          <w:rFonts w:ascii="Arial" w:hAnsi="Arial" w:cs="Arial"/>
          <w:bCs/>
          <w:sz w:val="24"/>
          <w:szCs w:val="24"/>
        </w:rPr>
      </w:pPr>
    </w:p>
    <w:p w:rsidR="00542E41" w:rsidRDefault="009A6A99" w:rsidP="001B2CC0">
      <w:pPr>
        <w:spacing w:after="0" w:line="240" w:lineRule="auto"/>
        <w:rPr>
          <w:rFonts w:ascii="Arial" w:hAnsi="Arial" w:cs="Arial"/>
          <w:sz w:val="24"/>
          <w:szCs w:val="24"/>
        </w:rPr>
      </w:pPr>
      <w:r w:rsidRPr="001B2CC0">
        <w:rPr>
          <w:rFonts w:ascii="Arial" w:hAnsi="Arial" w:cs="Arial"/>
          <w:b/>
          <w:bCs/>
          <w:sz w:val="24"/>
          <w:szCs w:val="24"/>
        </w:rPr>
        <w:t>Conclusion</w:t>
      </w:r>
      <w:r w:rsidRPr="00542E41">
        <w:rPr>
          <w:rFonts w:ascii="Arial" w:hAnsi="Arial" w:cs="Arial"/>
          <w:bCs/>
          <w:sz w:val="24"/>
          <w:szCs w:val="24"/>
        </w:rPr>
        <w:t>:</w:t>
      </w:r>
      <w:r w:rsidR="001B2CC0">
        <w:rPr>
          <w:rFonts w:ascii="Arial" w:hAnsi="Arial" w:cs="Arial"/>
          <w:bCs/>
          <w:sz w:val="24"/>
          <w:szCs w:val="24"/>
        </w:rPr>
        <w:t xml:space="preserve"> </w:t>
      </w:r>
      <w:r w:rsidR="00542E41" w:rsidRPr="00CF62F5">
        <w:rPr>
          <w:rFonts w:ascii="Arial" w:hAnsi="Arial" w:cs="Arial"/>
          <w:sz w:val="24"/>
          <w:szCs w:val="24"/>
          <w:lang w:val="en-US"/>
        </w:rPr>
        <w:t xml:space="preserve">While the concept of ‘negotiated safety’ has been well utilized within the HIV literature regarding men who have sex with men, it has rarely been explored within the field of illicit drug use and hepatitis C. </w:t>
      </w:r>
      <w:r w:rsidR="00CF62F5" w:rsidRPr="00CF62F5">
        <w:rPr>
          <w:rFonts w:ascii="Arial" w:hAnsi="Arial" w:cs="Arial"/>
          <w:sz w:val="24"/>
          <w:szCs w:val="24"/>
        </w:rPr>
        <w:t xml:space="preserve">In our continued efforts to understand and prevent the transmission of hepatitis C, as well as address the dynamics of social exclusion, we need to better recognise and work with the sources of intimate </w:t>
      </w:r>
      <w:proofErr w:type="gramStart"/>
      <w:r w:rsidR="00CF62F5" w:rsidRPr="00CF62F5">
        <w:rPr>
          <w:rFonts w:ascii="Arial" w:hAnsi="Arial" w:cs="Arial"/>
          <w:sz w:val="24"/>
          <w:szCs w:val="24"/>
        </w:rPr>
        <w:t>knowledge,</w:t>
      </w:r>
      <w:proofErr w:type="gramEnd"/>
      <w:r w:rsidR="00CF62F5" w:rsidRPr="00CF62F5">
        <w:rPr>
          <w:rFonts w:ascii="Arial" w:hAnsi="Arial" w:cs="Arial"/>
          <w:sz w:val="24"/>
          <w:szCs w:val="24"/>
        </w:rPr>
        <w:t xml:space="preserve"> trust and negotiated safety that lie within the partnerships of those inject drugs, as well as identifying the viral risks.</w:t>
      </w:r>
    </w:p>
    <w:p w:rsidR="001D7C2C" w:rsidRDefault="001D7C2C" w:rsidP="001B2CC0">
      <w:pPr>
        <w:spacing w:after="0" w:line="240" w:lineRule="auto"/>
        <w:rPr>
          <w:rFonts w:ascii="Arial" w:hAnsi="Arial" w:cs="Arial"/>
          <w:sz w:val="24"/>
          <w:szCs w:val="24"/>
        </w:rPr>
      </w:pPr>
    </w:p>
    <w:p w:rsidR="001D7C2C" w:rsidRPr="00CF62F5" w:rsidRDefault="001D7C2C" w:rsidP="001B2CC0">
      <w:pPr>
        <w:spacing w:after="0" w:line="240" w:lineRule="auto"/>
        <w:rPr>
          <w:rFonts w:ascii="Arial" w:hAnsi="Arial" w:cs="Arial"/>
          <w:bCs/>
          <w:sz w:val="24"/>
          <w:szCs w:val="24"/>
        </w:rPr>
      </w:pPr>
      <w:r w:rsidRPr="001B2CC0">
        <w:rPr>
          <w:rFonts w:ascii="Arial" w:hAnsi="Arial" w:cs="Arial"/>
          <w:b/>
          <w:bCs/>
          <w:sz w:val="24"/>
          <w:szCs w:val="24"/>
        </w:rPr>
        <w:t>Disclosure of interest Statement:</w:t>
      </w:r>
      <w:r w:rsidR="001B2CC0">
        <w:rPr>
          <w:rFonts w:ascii="Arial" w:hAnsi="Arial" w:cs="Arial"/>
          <w:b/>
          <w:bCs/>
          <w:sz w:val="24"/>
          <w:szCs w:val="24"/>
        </w:rPr>
        <w:t xml:space="preserve"> </w:t>
      </w:r>
      <w:r>
        <w:rPr>
          <w:rFonts w:ascii="Arial" w:hAnsi="Arial" w:cs="Arial"/>
          <w:bCs/>
          <w:sz w:val="24"/>
          <w:szCs w:val="24"/>
        </w:rPr>
        <w:t xml:space="preserve">The authors have no disclosures of interest to </w:t>
      </w:r>
      <w:r w:rsidR="002F3A1D">
        <w:rPr>
          <w:rFonts w:ascii="Arial" w:hAnsi="Arial" w:cs="Arial"/>
          <w:bCs/>
          <w:sz w:val="24"/>
          <w:szCs w:val="24"/>
        </w:rPr>
        <w:t>declare</w:t>
      </w:r>
      <w:r>
        <w:rPr>
          <w:rFonts w:ascii="Arial" w:hAnsi="Arial" w:cs="Arial"/>
          <w:bCs/>
          <w:sz w:val="24"/>
          <w:szCs w:val="24"/>
        </w:rPr>
        <w:t>.</w:t>
      </w:r>
    </w:p>
    <w:sectPr w:rsidR="001D7C2C" w:rsidRPr="00CF62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35A"/>
    <w:rsid w:val="0004235A"/>
    <w:rsid w:val="000C7405"/>
    <w:rsid w:val="001A1A6F"/>
    <w:rsid w:val="001B2CC0"/>
    <w:rsid w:val="001D7C2C"/>
    <w:rsid w:val="00247087"/>
    <w:rsid w:val="002F3A1D"/>
    <w:rsid w:val="004C2387"/>
    <w:rsid w:val="00542E41"/>
    <w:rsid w:val="00827A2D"/>
    <w:rsid w:val="00896D42"/>
    <w:rsid w:val="009A6A99"/>
    <w:rsid w:val="00A234FB"/>
    <w:rsid w:val="00A8140D"/>
    <w:rsid w:val="00A86650"/>
    <w:rsid w:val="00BA265F"/>
    <w:rsid w:val="00BE136C"/>
    <w:rsid w:val="00BE7020"/>
    <w:rsid w:val="00CF62F5"/>
    <w:rsid w:val="00DB1E53"/>
    <w:rsid w:val="00DD5636"/>
    <w:rsid w:val="00E10925"/>
    <w:rsid w:val="00E30530"/>
    <w:rsid w:val="00E54C72"/>
    <w:rsid w:val="00E82B8C"/>
    <w:rsid w:val="00F01176"/>
    <w:rsid w:val="00F413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Rance</dc:creator>
  <cp:keywords/>
  <dc:description/>
  <cp:lastModifiedBy>Rini Das</cp:lastModifiedBy>
  <cp:revision>20</cp:revision>
  <dcterms:created xsi:type="dcterms:W3CDTF">2015-06-10T07:07:00Z</dcterms:created>
  <dcterms:modified xsi:type="dcterms:W3CDTF">2015-06-23T00:06:00Z</dcterms:modified>
</cp:coreProperties>
</file>