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FC" w:rsidRPr="009A3665" w:rsidRDefault="00CC2EFC" w:rsidP="009A3665">
      <w:pPr>
        <w:autoSpaceDE w:val="0"/>
        <w:autoSpaceDN w:val="0"/>
        <w:adjustRightInd w:val="0"/>
        <w:rPr>
          <w:rFonts w:ascii="Arial" w:eastAsia="MS Mincho" w:hAnsi="Arial" w:cs="Arial"/>
          <w:b/>
          <w:lang w:eastAsia="ja-JP"/>
        </w:rPr>
      </w:pPr>
      <w:r w:rsidRPr="009A3665">
        <w:rPr>
          <w:rFonts w:ascii="Arial" w:eastAsia="MS Mincho" w:hAnsi="Arial" w:cs="Arial"/>
          <w:b/>
          <w:lang w:eastAsia="ja-JP"/>
        </w:rPr>
        <w:t>COMPARISON OF SELF-REPORTED BLOOD-BORNE VIRUS STATUS WITH RECENT SEROLOGY RESULTS IN A LOCAL HIGH RISK POPULATION OF PEOPLE WHO INJECT DRUGS</w:t>
      </w:r>
    </w:p>
    <w:p w:rsidR="00CC2EFC" w:rsidRPr="009A3665" w:rsidRDefault="00CC2EFC" w:rsidP="009A3665">
      <w:pPr>
        <w:rPr>
          <w:rFonts w:ascii="Arial" w:hAnsi="Arial" w:cs="Arial"/>
          <w:b/>
        </w:rPr>
      </w:pPr>
    </w:p>
    <w:p w:rsidR="00924A5D" w:rsidRPr="009A3665" w:rsidRDefault="00924A5D" w:rsidP="009A3665">
      <w:pPr>
        <w:rPr>
          <w:rFonts w:ascii="Arial" w:hAnsi="Arial" w:cs="Arial"/>
        </w:rPr>
      </w:pPr>
      <w:r w:rsidRPr="009A3665">
        <w:rPr>
          <w:rFonts w:ascii="Arial" w:hAnsi="Arial" w:cs="Arial"/>
          <w:u w:val="single"/>
        </w:rPr>
        <w:t>Peach E</w:t>
      </w:r>
      <w:r w:rsidRPr="009A3665">
        <w:rPr>
          <w:rFonts w:ascii="Arial" w:hAnsi="Arial" w:cs="Arial"/>
          <w:vertAlign w:val="superscript"/>
        </w:rPr>
        <w:t>1</w:t>
      </w:r>
      <w:r w:rsidRPr="009A3665">
        <w:rPr>
          <w:rFonts w:ascii="Arial" w:hAnsi="Arial" w:cs="Arial"/>
        </w:rPr>
        <w:t xml:space="preserve">, </w:t>
      </w:r>
      <w:proofErr w:type="spellStart"/>
      <w:r w:rsidRPr="009A3665">
        <w:rPr>
          <w:rFonts w:ascii="Arial" w:hAnsi="Arial" w:cs="Arial"/>
        </w:rPr>
        <w:t>Hellard</w:t>
      </w:r>
      <w:proofErr w:type="spellEnd"/>
      <w:r w:rsidRPr="009A3665">
        <w:rPr>
          <w:rFonts w:ascii="Arial" w:hAnsi="Arial" w:cs="Arial"/>
        </w:rPr>
        <w:t xml:space="preserve"> M</w:t>
      </w:r>
      <w:r w:rsidRPr="009A3665">
        <w:rPr>
          <w:rFonts w:ascii="Arial" w:hAnsi="Arial" w:cs="Arial"/>
          <w:vertAlign w:val="superscript"/>
        </w:rPr>
        <w:t>1, 2,3</w:t>
      </w:r>
      <w:r w:rsidRPr="009A3665">
        <w:rPr>
          <w:rFonts w:ascii="Arial" w:hAnsi="Arial" w:cs="Arial"/>
        </w:rPr>
        <w:t>,</w:t>
      </w:r>
      <w:r w:rsidRPr="009A3665">
        <w:rPr>
          <w:rFonts w:ascii="Arial" w:hAnsi="Arial" w:cs="Arial"/>
          <w:vertAlign w:val="superscript"/>
        </w:rPr>
        <w:t xml:space="preserve"> </w:t>
      </w:r>
      <w:r w:rsidRPr="009A3665">
        <w:rPr>
          <w:rFonts w:ascii="Arial" w:hAnsi="Arial" w:cs="Arial"/>
        </w:rPr>
        <w:t>Francis P</w:t>
      </w:r>
      <w:r w:rsidRPr="009A3665">
        <w:rPr>
          <w:rFonts w:ascii="Arial" w:hAnsi="Arial" w:cs="Arial"/>
          <w:vertAlign w:val="superscript"/>
        </w:rPr>
        <w:t>4</w:t>
      </w:r>
      <w:r w:rsidRPr="009A3665">
        <w:rPr>
          <w:rFonts w:ascii="Arial" w:hAnsi="Arial" w:cs="Arial"/>
        </w:rPr>
        <w:t>, Cogger S</w:t>
      </w:r>
      <w:r w:rsidRPr="009A3665">
        <w:rPr>
          <w:rFonts w:ascii="Arial" w:hAnsi="Arial" w:cs="Arial"/>
          <w:vertAlign w:val="superscript"/>
        </w:rPr>
        <w:t>1</w:t>
      </w:r>
      <w:r w:rsidRPr="009A3665">
        <w:rPr>
          <w:rFonts w:ascii="Arial" w:hAnsi="Arial" w:cs="Arial"/>
        </w:rPr>
        <w:t>, Dietze P</w:t>
      </w:r>
      <w:r w:rsidRPr="009A3665">
        <w:rPr>
          <w:rFonts w:ascii="Arial" w:hAnsi="Arial" w:cs="Arial"/>
          <w:vertAlign w:val="superscript"/>
        </w:rPr>
        <w:t>1, 3</w:t>
      </w:r>
      <w:r w:rsidRPr="009A3665">
        <w:rPr>
          <w:rFonts w:ascii="Arial" w:hAnsi="Arial" w:cs="Arial"/>
        </w:rPr>
        <w:t>, Morris M</w:t>
      </w:r>
      <w:r w:rsidRPr="009A3665">
        <w:rPr>
          <w:rFonts w:ascii="Arial" w:hAnsi="Arial" w:cs="Arial"/>
          <w:vertAlign w:val="superscript"/>
        </w:rPr>
        <w:t>4</w:t>
      </w:r>
      <w:r w:rsidRPr="009A3665">
        <w:rPr>
          <w:rFonts w:ascii="Arial" w:hAnsi="Arial" w:cs="Arial"/>
        </w:rPr>
        <w:t>, Elmore K</w:t>
      </w:r>
      <w:r w:rsidRPr="009A3665">
        <w:rPr>
          <w:rFonts w:ascii="Arial" w:hAnsi="Arial" w:cs="Arial"/>
          <w:vertAlign w:val="superscript"/>
        </w:rPr>
        <w:t>4</w:t>
      </w:r>
      <w:r w:rsidRPr="009A3665">
        <w:rPr>
          <w:rFonts w:ascii="Arial" w:hAnsi="Arial" w:cs="Arial"/>
        </w:rPr>
        <w:t xml:space="preserve">, </w:t>
      </w:r>
      <w:proofErr w:type="spellStart"/>
      <w:r w:rsidRPr="009A3665">
        <w:rPr>
          <w:rFonts w:ascii="Arial" w:hAnsi="Arial" w:cs="Arial"/>
        </w:rPr>
        <w:t>Stoove</w:t>
      </w:r>
      <w:proofErr w:type="spellEnd"/>
      <w:r w:rsidRPr="009A3665">
        <w:rPr>
          <w:rFonts w:ascii="Arial" w:hAnsi="Arial" w:cs="Arial"/>
        </w:rPr>
        <w:t xml:space="preserve"> M</w:t>
      </w:r>
      <w:r w:rsidRPr="009A3665">
        <w:rPr>
          <w:rFonts w:ascii="Arial" w:hAnsi="Arial" w:cs="Arial"/>
          <w:vertAlign w:val="superscript"/>
        </w:rPr>
        <w:t>1</w:t>
      </w:r>
      <w:bookmarkStart w:id="0" w:name="_GoBack"/>
      <w:bookmarkEnd w:id="0"/>
    </w:p>
    <w:p w:rsidR="00924A5D" w:rsidRPr="009A3665" w:rsidRDefault="00924A5D" w:rsidP="009A3665">
      <w:pPr>
        <w:rPr>
          <w:rFonts w:ascii="Arial" w:hAnsi="Arial" w:cs="Arial"/>
        </w:rPr>
      </w:pPr>
    </w:p>
    <w:p w:rsidR="00924A5D" w:rsidRPr="009A3665" w:rsidRDefault="00924A5D" w:rsidP="009A3665">
      <w:pPr>
        <w:rPr>
          <w:rFonts w:ascii="Arial" w:hAnsi="Arial" w:cs="Arial"/>
          <w:lang w:val="en-AU"/>
        </w:rPr>
      </w:pPr>
      <w:r w:rsidRPr="009A3665">
        <w:rPr>
          <w:rFonts w:ascii="Arial" w:hAnsi="Arial" w:cs="Arial"/>
          <w:vertAlign w:val="superscript"/>
        </w:rPr>
        <w:t xml:space="preserve">1 </w:t>
      </w:r>
      <w:r w:rsidRPr="009A3665">
        <w:rPr>
          <w:rFonts w:ascii="Arial" w:hAnsi="Arial" w:cs="Arial"/>
        </w:rPr>
        <w:t>Centre for Population Health, Burnet Institute, Melbourne,</w:t>
      </w:r>
      <w:r w:rsidRPr="009A3665">
        <w:rPr>
          <w:rFonts w:ascii="Arial" w:hAnsi="Arial" w:cs="Arial"/>
          <w:lang w:val="en-AU"/>
        </w:rPr>
        <w:t xml:space="preserve"> </w:t>
      </w:r>
      <w:r w:rsidRPr="009A3665">
        <w:rPr>
          <w:rFonts w:ascii="Arial" w:hAnsi="Arial" w:cs="Arial"/>
          <w:vertAlign w:val="superscript"/>
        </w:rPr>
        <w:t>2</w:t>
      </w:r>
      <w:r w:rsidRPr="009A3665">
        <w:rPr>
          <w:rFonts w:ascii="Arial" w:hAnsi="Arial" w:cs="Arial"/>
        </w:rPr>
        <w:t xml:space="preserve"> Infectious Diseases Unit, Alfred Hospital, Melbourne</w:t>
      </w:r>
      <w:r w:rsidRPr="009A3665">
        <w:rPr>
          <w:rFonts w:ascii="Arial" w:hAnsi="Arial" w:cs="Arial"/>
          <w:vertAlign w:val="superscript"/>
        </w:rPr>
        <w:t xml:space="preserve"> 3 </w:t>
      </w:r>
      <w:r w:rsidRPr="009A3665">
        <w:rPr>
          <w:rFonts w:ascii="Arial" w:hAnsi="Arial" w:cs="Arial"/>
        </w:rPr>
        <w:t xml:space="preserve">Australia Department of Epidemiology and Preventive Medicine, Monash University, Melbourne, </w:t>
      </w:r>
      <w:r w:rsidRPr="009A3665">
        <w:rPr>
          <w:rFonts w:ascii="Arial" w:hAnsi="Arial" w:cs="Arial"/>
          <w:vertAlign w:val="superscript"/>
        </w:rPr>
        <w:t xml:space="preserve">4 </w:t>
      </w:r>
      <w:r w:rsidRPr="009A3665">
        <w:rPr>
          <w:rFonts w:ascii="Arial" w:hAnsi="Arial" w:cs="Arial"/>
        </w:rPr>
        <w:t>North Richmond Community Health Centre, Melbourne</w:t>
      </w:r>
    </w:p>
    <w:p w:rsidR="00435EA5" w:rsidRPr="009A3665" w:rsidRDefault="00435EA5" w:rsidP="009A3665">
      <w:pPr>
        <w:rPr>
          <w:rFonts w:ascii="Arial" w:hAnsi="Arial" w:cs="Arial"/>
          <w:lang w:val="en-AU"/>
        </w:rPr>
      </w:pPr>
    </w:p>
    <w:p w:rsidR="000A7098" w:rsidRPr="009A3665" w:rsidRDefault="00435EA5" w:rsidP="009A3665">
      <w:pPr>
        <w:rPr>
          <w:rFonts w:ascii="Arial" w:hAnsi="Arial" w:cs="Arial"/>
          <w:iCs/>
        </w:rPr>
      </w:pPr>
      <w:r w:rsidRPr="009A3665">
        <w:rPr>
          <w:rFonts w:ascii="Arial" w:hAnsi="Arial" w:cs="Arial"/>
          <w:b/>
        </w:rPr>
        <w:t>Introduction:</w:t>
      </w:r>
      <w:r w:rsidR="009A3665" w:rsidRPr="009A3665">
        <w:rPr>
          <w:rFonts w:ascii="Arial" w:hAnsi="Arial" w:cs="Arial"/>
          <w:b/>
        </w:rPr>
        <w:t xml:space="preserve"> </w:t>
      </w:r>
      <w:r w:rsidR="000A7098" w:rsidRPr="009A3665">
        <w:rPr>
          <w:rFonts w:ascii="Arial" w:eastAsia="MS Mincho" w:hAnsi="Arial" w:cs="Arial"/>
          <w:lang w:eastAsia="ja-JP"/>
        </w:rPr>
        <w:t xml:space="preserve">Knowledge of blood-borne virus (BBV) status enables people to engage in preventive </w:t>
      </w:r>
      <w:proofErr w:type="spellStart"/>
      <w:r w:rsidR="000A7098" w:rsidRPr="009A3665">
        <w:rPr>
          <w:rFonts w:ascii="Arial" w:eastAsia="MS Mincho" w:hAnsi="Arial" w:cs="Arial"/>
          <w:lang w:eastAsia="ja-JP"/>
        </w:rPr>
        <w:t>behaviours</w:t>
      </w:r>
      <w:proofErr w:type="spellEnd"/>
      <w:r w:rsidR="000A7098" w:rsidRPr="009A3665">
        <w:rPr>
          <w:rFonts w:ascii="Arial" w:eastAsia="MS Mincho" w:hAnsi="Arial" w:cs="Arial"/>
          <w:lang w:eastAsia="ja-JP"/>
        </w:rPr>
        <w:t xml:space="preserve"> and seek appropriate healthcare. </w:t>
      </w:r>
      <w:r w:rsidR="000A7098" w:rsidRPr="009A3665">
        <w:rPr>
          <w:rFonts w:ascii="Arial" w:hAnsi="Arial" w:cs="Arial"/>
          <w:iCs/>
        </w:rPr>
        <w:t xml:space="preserve">We compare self-reported HIV and </w:t>
      </w:r>
      <w:r w:rsidR="00721326" w:rsidRPr="009A3665">
        <w:rPr>
          <w:rFonts w:ascii="Arial" w:hAnsi="Arial" w:cs="Arial"/>
          <w:iCs/>
        </w:rPr>
        <w:t>hepatitis C (</w:t>
      </w:r>
      <w:r w:rsidR="000A7098" w:rsidRPr="009A3665">
        <w:rPr>
          <w:rFonts w:ascii="Arial" w:hAnsi="Arial" w:cs="Arial"/>
          <w:iCs/>
        </w:rPr>
        <w:t>HCV</w:t>
      </w:r>
      <w:r w:rsidR="00721326" w:rsidRPr="009A3665">
        <w:rPr>
          <w:rFonts w:ascii="Arial" w:hAnsi="Arial" w:cs="Arial"/>
          <w:iCs/>
        </w:rPr>
        <w:t>)</w:t>
      </w:r>
      <w:r w:rsidR="000A7098" w:rsidRPr="009A3665">
        <w:rPr>
          <w:rFonts w:ascii="Arial" w:hAnsi="Arial" w:cs="Arial"/>
          <w:iCs/>
        </w:rPr>
        <w:t xml:space="preserve"> status with serological markers of infection among people who inject drugs (PWID) recruited from a culturally and ethnically diverse inner-city suburb of Melbourne at the </w:t>
      </w:r>
      <w:proofErr w:type="spellStart"/>
      <w:r w:rsidR="000A7098" w:rsidRPr="009A3665">
        <w:rPr>
          <w:rFonts w:ascii="Arial" w:hAnsi="Arial" w:cs="Arial"/>
          <w:iCs/>
        </w:rPr>
        <w:t>centre</w:t>
      </w:r>
      <w:proofErr w:type="spellEnd"/>
      <w:r w:rsidR="000A7098" w:rsidRPr="009A3665">
        <w:rPr>
          <w:rFonts w:ascii="Arial" w:hAnsi="Arial" w:cs="Arial"/>
          <w:iCs/>
        </w:rPr>
        <w:t xml:space="preserve"> of a recent cluster of new HIV notifications.  </w:t>
      </w:r>
    </w:p>
    <w:p w:rsidR="000A7098" w:rsidRPr="009A3665" w:rsidRDefault="000A7098" w:rsidP="009A3665">
      <w:pPr>
        <w:autoSpaceDE w:val="0"/>
        <w:autoSpaceDN w:val="0"/>
        <w:adjustRightInd w:val="0"/>
        <w:rPr>
          <w:rFonts w:ascii="Arial" w:hAnsi="Arial" w:cs="Arial"/>
          <w:iCs/>
        </w:rPr>
      </w:pPr>
    </w:p>
    <w:p w:rsidR="000A7098" w:rsidRPr="009A3665" w:rsidRDefault="00435EA5" w:rsidP="009A3665">
      <w:pPr>
        <w:rPr>
          <w:rFonts w:ascii="Arial" w:eastAsia="MS Mincho" w:hAnsi="Arial" w:cs="Arial"/>
          <w:lang w:eastAsia="ja-JP"/>
        </w:rPr>
      </w:pPr>
      <w:r w:rsidRPr="009A3665">
        <w:rPr>
          <w:rFonts w:ascii="Arial" w:hAnsi="Arial" w:cs="Arial"/>
          <w:b/>
        </w:rPr>
        <w:t>Methods:</w:t>
      </w:r>
      <w:r w:rsidR="009A3665" w:rsidRPr="009A3665">
        <w:rPr>
          <w:rFonts w:ascii="Arial" w:hAnsi="Arial" w:cs="Arial"/>
          <w:b/>
        </w:rPr>
        <w:t xml:space="preserve"> </w:t>
      </w:r>
      <w:r w:rsidR="000A7098" w:rsidRPr="009A3665">
        <w:rPr>
          <w:rFonts w:ascii="Arial" w:eastAsia="MS Mincho" w:hAnsi="Arial" w:cs="Arial"/>
          <w:lang w:eastAsia="ja-JP"/>
        </w:rPr>
        <w:t>A cross-sectional bio-</w:t>
      </w:r>
      <w:proofErr w:type="spellStart"/>
      <w:r w:rsidR="000A7098" w:rsidRPr="009A3665">
        <w:rPr>
          <w:rFonts w:ascii="Arial" w:eastAsia="MS Mincho" w:hAnsi="Arial" w:cs="Arial"/>
          <w:lang w:eastAsia="ja-JP"/>
        </w:rPr>
        <w:t>behavioural</w:t>
      </w:r>
      <w:proofErr w:type="spellEnd"/>
      <w:r w:rsidR="000A7098" w:rsidRPr="009A3665">
        <w:rPr>
          <w:rFonts w:ascii="Arial" w:eastAsia="MS Mincho" w:hAnsi="Arial" w:cs="Arial"/>
          <w:lang w:eastAsia="ja-JP"/>
        </w:rPr>
        <w:t xml:space="preserve"> survey conducted in August-September 2014 of 128 PWID users of the local needle and syringe program recruited via</w:t>
      </w:r>
      <w:r w:rsidR="00721326" w:rsidRPr="009A3665">
        <w:rPr>
          <w:rFonts w:ascii="Arial" w:eastAsia="MS Mincho" w:hAnsi="Arial" w:cs="Arial"/>
          <w:lang w:eastAsia="ja-JP"/>
        </w:rPr>
        <w:t xml:space="preserve"> the</w:t>
      </w:r>
      <w:r w:rsidR="000A7098" w:rsidRPr="009A3665">
        <w:rPr>
          <w:rFonts w:ascii="Arial" w:eastAsia="MS Mincho" w:hAnsi="Arial" w:cs="Arial"/>
          <w:lang w:eastAsia="ja-JP"/>
        </w:rPr>
        <w:t xml:space="preserve"> fixed site and outreach.  </w:t>
      </w:r>
    </w:p>
    <w:p w:rsidR="00435EA5" w:rsidRPr="009A3665" w:rsidRDefault="00435EA5" w:rsidP="009A3665">
      <w:pPr>
        <w:rPr>
          <w:rFonts w:ascii="Arial" w:hAnsi="Arial" w:cs="Arial"/>
        </w:rPr>
      </w:pPr>
    </w:p>
    <w:p w:rsidR="000A7098" w:rsidRPr="009A3665" w:rsidRDefault="00435EA5" w:rsidP="009A3665">
      <w:pPr>
        <w:rPr>
          <w:rFonts w:ascii="Arial" w:eastAsia="MS Mincho" w:hAnsi="Arial" w:cs="Arial"/>
          <w:lang w:eastAsia="ja-JP"/>
        </w:rPr>
      </w:pPr>
      <w:r w:rsidRPr="009A3665">
        <w:rPr>
          <w:rFonts w:ascii="Arial" w:hAnsi="Arial" w:cs="Arial"/>
          <w:b/>
        </w:rPr>
        <w:t>Results:</w:t>
      </w:r>
      <w:r w:rsidR="009A3665" w:rsidRPr="009A3665">
        <w:rPr>
          <w:rFonts w:ascii="Arial" w:hAnsi="Arial" w:cs="Arial"/>
          <w:b/>
        </w:rPr>
        <w:t xml:space="preserve"> </w:t>
      </w:r>
      <w:r w:rsidR="000A7098" w:rsidRPr="009A3665">
        <w:rPr>
          <w:rFonts w:ascii="Arial" w:eastAsia="MS Mincho" w:hAnsi="Arial" w:cs="Arial"/>
          <w:lang w:eastAsia="ja-JP"/>
        </w:rPr>
        <w:t xml:space="preserve">Two thirds (67%) were men, 42 (33%) reported being Indigenous Australian and median age was 37 years.  Five (4%) and eighty (63%) participants were </w:t>
      </w:r>
      <w:proofErr w:type="spellStart"/>
      <w:r w:rsidR="000A7098" w:rsidRPr="009A3665">
        <w:rPr>
          <w:rFonts w:ascii="Arial" w:eastAsia="MS Mincho" w:hAnsi="Arial" w:cs="Arial"/>
          <w:lang w:eastAsia="ja-JP"/>
        </w:rPr>
        <w:t>sero</w:t>
      </w:r>
      <w:proofErr w:type="spellEnd"/>
      <w:r w:rsidR="000A7098" w:rsidRPr="009A3665">
        <w:rPr>
          <w:rFonts w:ascii="Arial" w:eastAsia="MS Mincho" w:hAnsi="Arial" w:cs="Arial"/>
          <w:lang w:eastAsia="ja-JP"/>
        </w:rPr>
        <w:t xml:space="preserve">-positive for HIV and current HCV infection (HCV RNA+) respectively.  Among 123 participants previously tested for HCV and who reported perceived </w:t>
      </w:r>
      <w:proofErr w:type="spellStart"/>
      <w:r w:rsidR="000A7098" w:rsidRPr="009A3665">
        <w:rPr>
          <w:rFonts w:ascii="Arial" w:eastAsia="MS Mincho" w:hAnsi="Arial" w:cs="Arial"/>
          <w:lang w:eastAsia="ja-JP"/>
        </w:rPr>
        <w:t>sero</w:t>
      </w:r>
      <w:proofErr w:type="spellEnd"/>
      <w:r w:rsidR="000A7098" w:rsidRPr="009A3665">
        <w:rPr>
          <w:rFonts w:ascii="Arial" w:eastAsia="MS Mincho" w:hAnsi="Arial" w:cs="Arial"/>
          <w:lang w:eastAsia="ja-JP"/>
        </w:rPr>
        <w:t xml:space="preserve">-status, 38 (31%) self-reported discordant </w:t>
      </w:r>
      <w:proofErr w:type="spellStart"/>
      <w:r w:rsidR="000A7098" w:rsidRPr="009A3665">
        <w:rPr>
          <w:rFonts w:ascii="Arial" w:eastAsia="MS Mincho" w:hAnsi="Arial" w:cs="Arial"/>
          <w:lang w:eastAsia="ja-JP"/>
        </w:rPr>
        <w:t>sero</w:t>
      </w:r>
      <w:proofErr w:type="spellEnd"/>
      <w:r w:rsidR="000A7098" w:rsidRPr="009A3665">
        <w:rPr>
          <w:rFonts w:ascii="Arial" w:eastAsia="MS Mincho" w:hAnsi="Arial" w:cs="Arial"/>
          <w:lang w:eastAsia="ja-JP"/>
        </w:rPr>
        <w:t xml:space="preserve">-status; 14 falsely reported being HCV-positive, 12 falsely reported being HCV-negative and 12 (six HCV RNA+) reported never having received/being unsure of their previous test result.  Among 113 participants previously tested for HIV and who reported perceived </w:t>
      </w:r>
      <w:proofErr w:type="spellStart"/>
      <w:r w:rsidR="000A7098" w:rsidRPr="009A3665">
        <w:rPr>
          <w:rFonts w:ascii="Arial" w:eastAsia="MS Mincho" w:hAnsi="Arial" w:cs="Arial"/>
          <w:lang w:eastAsia="ja-JP"/>
        </w:rPr>
        <w:t>sero</w:t>
      </w:r>
      <w:proofErr w:type="spellEnd"/>
      <w:r w:rsidR="000A7098" w:rsidRPr="009A3665">
        <w:rPr>
          <w:rFonts w:ascii="Arial" w:eastAsia="MS Mincho" w:hAnsi="Arial" w:cs="Arial"/>
          <w:lang w:eastAsia="ja-JP"/>
        </w:rPr>
        <w:t xml:space="preserve">-status, seven (6%) self-reported discordant HIV </w:t>
      </w:r>
      <w:proofErr w:type="spellStart"/>
      <w:r w:rsidR="000A7098" w:rsidRPr="009A3665">
        <w:rPr>
          <w:rFonts w:ascii="Arial" w:eastAsia="MS Mincho" w:hAnsi="Arial" w:cs="Arial"/>
          <w:lang w:eastAsia="ja-JP"/>
        </w:rPr>
        <w:t>sero</w:t>
      </w:r>
      <w:proofErr w:type="spellEnd"/>
      <w:r w:rsidR="000A7098" w:rsidRPr="009A3665">
        <w:rPr>
          <w:rFonts w:ascii="Arial" w:eastAsia="MS Mincho" w:hAnsi="Arial" w:cs="Arial"/>
          <w:lang w:eastAsia="ja-JP"/>
        </w:rPr>
        <w:t xml:space="preserve">-status; two falsely reported being HIV negative and five reported never having received/being unsure of their previous test result.  Only one of the HIV positive participants correctly reported being </w:t>
      </w:r>
      <w:proofErr w:type="spellStart"/>
      <w:r w:rsidR="000A7098" w:rsidRPr="009A3665">
        <w:rPr>
          <w:rFonts w:ascii="Arial" w:eastAsia="MS Mincho" w:hAnsi="Arial" w:cs="Arial"/>
          <w:lang w:eastAsia="ja-JP"/>
        </w:rPr>
        <w:t>sero</w:t>
      </w:r>
      <w:proofErr w:type="spellEnd"/>
      <w:r w:rsidR="000A7098" w:rsidRPr="009A3665">
        <w:rPr>
          <w:rFonts w:ascii="Arial" w:eastAsia="MS Mincho" w:hAnsi="Arial" w:cs="Arial"/>
          <w:lang w:eastAsia="ja-JP"/>
        </w:rPr>
        <w:t xml:space="preserve">-positive.  Participants who reported discordant HCV </w:t>
      </w:r>
      <w:proofErr w:type="spellStart"/>
      <w:r w:rsidR="000A7098" w:rsidRPr="009A3665">
        <w:rPr>
          <w:rFonts w:ascii="Arial" w:eastAsia="MS Mincho" w:hAnsi="Arial" w:cs="Arial"/>
          <w:lang w:eastAsia="ja-JP"/>
        </w:rPr>
        <w:t>sero</w:t>
      </w:r>
      <w:proofErr w:type="spellEnd"/>
      <w:r w:rsidR="000A7098" w:rsidRPr="009A3665">
        <w:rPr>
          <w:rFonts w:ascii="Arial" w:eastAsia="MS Mincho" w:hAnsi="Arial" w:cs="Arial"/>
          <w:lang w:eastAsia="ja-JP"/>
        </w:rPr>
        <w:t>-status were more likely to be Indigenous, after adjusting for age, sex and time since previous test (AOR 2.40, p=0.031).</w:t>
      </w:r>
    </w:p>
    <w:p w:rsidR="00435EA5" w:rsidRPr="009A3665" w:rsidRDefault="00435EA5" w:rsidP="009A3665">
      <w:pPr>
        <w:rPr>
          <w:rFonts w:ascii="Arial" w:hAnsi="Arial" w:cs="Arial"/>
        </w:rPr>
      </w:pPr>
    </w:p>
    <w:p w:rsidR="000A7098" w:rsidRPr="009A3665" w:rsidRDefault="00435EA5" w:rsidP="009A3665">
      <w:pPr>
        <w:rPr>
          <w:rFonts w:ascii="Arial" w:eastAsia="MS Mincho" w:hAnsi="Arial" w:cs="Arial"/>
          <w:lang w:eastAsia="ja-JP"/>
        </w:rPr>
      </w:pPr>
      <w:r w:rsidRPr="009A3665">
        <w:rPr>
          <w:rFonts w:ascii="Arial" w:hAnsi="Arial" w:cs="Arial"/>
          <w:b/>
        </w:rPr>
        <w:t>Conclusion:</w:t>
      </w:r>
      <w:r w:rsidR="009A3665" w:rsidRPr="009A3665">
        <w:rPr>
          <w:rFonts w:ascii="Arial" w:hAnsi="Arial" w:cs="Arial"/>
          <w:b/>
        </w:rPr>
        <w:t xml:space="preserve"> </w:t>
      </w:r>
      <w:r w:rsidR="000A7098" w:rsidRPr="009A3665">
        <w:rPr>
          <w:rFonts w:ascii="Arial" w:eastAsia="MS Mincho" w:hAnsi="Arial" w:cs="Arial"/>
          <w:lang w:eastAsia="ja-JP"/>
        </w:rPr>
        <w:t xml:space="preserve">Accurate knowledge of BBV </w:t>
      </w:r>
      <w:proofErr w:type="spellStart"/>
      <w:r w:rsidR="000A7098" w:rsidRPr="009A3665">
        <w:rPr>
          <w:rFonts w:ascii="Arial" w:eastAsia="MS Mincho" w:hAnsi="Arial" w:cs="Arial"/>
          <w:lang w:eastAsia="ja-JP"/>
        </w:rPr>
        <w:t>sero</w:t>
      </w:r>
      <w:proofErr w:type="spellEnd"/>
      <w:r w:rsidR="000A7098" w:rsidRPr="009A3665">
        <w:rPr>
          <w:rFonts w:ascii="Arial" w:eastAsia="MS Mincho" w:hAnsi="Arial" w:cs="Arial"/>
          <w:lang w:eastAsia="ja-JP"/>
        </w:rPr>
        <w:t xml:space="preserve">-status in this geographically distinct and culturally diverse PWID sample is lower than that found in other Australian studies.  Local interventions must be urgently implemented to improve testing uptake and quality of post-test counselling in high risk populations, with particular emphasis on ensuring they are tailored to needs of local communities and cultural groups to prevent future BBV outbreaks. </w:t>
      </w:r>
    </w:p>
    <w:p w:rsidR="00435EA5" w:rsidRPr="009A3665" w:rsidRDefault="00435EA5" w:rsidP="009A3665">
      <w:pPr>
        <w:rPr>
          <w:rFonts w:ascii="Arial" w:hAnsi="Arial" w:cs="Arial"/>
        </w:rPr>
      </w:pPr>
    </w:p>
    <w:p w:rsidR="00B81694" w:rsidRPr="009A3665" w:rsidRDefault="00D755F5" w:rsidP="009A3665">
      <w:pPr>
        <w:autoSpaceDE w:val="0"/>
        <w:autoSpaceDN w:val="0"/>
        <w:adjustRightInd w:val="0"/>
        <w:rPr>
          <w:rFonts w:ascii="Arial" w:hAnsi="Arial" w:cs="Arial"/>
        </w:rPr>
      </w:pPr>
      <w:r w:rsidRPr="009A3665">
        <w:rPr>
          <w:rFonts w:ascii="Arial" w:hAnsi="Arial" w:cs="Arial"/>
          <w:b/>
          <w:color w:val="000000"/>
        </w:rPr>
        <w:t>Disclosure of Interest Statement:</w:t>
      </w:r>
      <w:r w:rsidR="009A3665" w:rsidRPr="009A3665">
        <w:rPr>
          <w:rFonts w:ascii="Arial" w:hAnsi="Arial" w:cs="Arial"/>
          <w:b/>
          <w:color w:val="000000"/>
        </w:rPr>
        <w:t xml:space="preserve"> </w:t>
      </w:r>
      <w:r w:rsidR="00B81694" w:rsidRPr="009A3665">
        <w:rPr>
          <w:rFonts w:ascii="Arial" w:eastAsia="MS Mincho" w:hAnsi="Arial" w:cs="Arial"/>
          <w:lang w:eastAsia="ja-JP"/>
        </w:rPr>
        <w:t xml:space="preserve">North Richmond Community Health Centre provided funding for the study.  PD and MH received funding from Gilead sciences for research unrelated to this work.  PD and MH are recipients of NHMRC Fellowship Research. PD is also the recipient of funds from an untied educational grant from Reckitt Benckiser awarded to the National Drug and Alcohol Research Centre used in the post-marketing surveillance of </w:t>
      </w:r>
      <w:proofErr w:type="spellStart"/>
      <w:r w:rsidR="00B81694" w:rsidRPr="009A3665">
        <w:rPr>
          <w:rFonts w:ascii="Arial" w:eastAsia="MS Mincho" w:hAnsi="Arial" w:cs="Arial"/>
          <w:lang w:eastAsia="ja-JP"/>
        </w:rPr>
        <w:t>Suboxone</w:t>
      </w:r>
      <w:proofErr w:type="spellEnd"/>
      <w:r w:rsidR="00B81694" w:rsidRPr="009A3665">
        <w:rPr>
          <w:rFonts w:ascii="Arial" w:eastAsia="MS Mincho" w:hAnsi="Arial" w:cs="Arial"/>
          <w:lang w:eastAsia="ja-JP"/>
        </w:rPr>
        <w:t xml:space="preserve"> in Australia.  The Burnet Institute gratefully acknowledges the contribution to this work of the Victorian Operational Infrastructure Support Program.</w:t>
      </w:r>
    </w:p>
    <w:p w:rsidR="00435EA5" w:rsidRPr="009A3665" w:rsidRDefault="00435EA5" w:rsidP="009A3665">
      <w:pPr>
        <w:rPr>
          <w:rFonts w:ascii="Arial" w:hAnsi="Arial" w:cs="Arial"/>
          <w:sz w:val="22"/>
          <w:szCs w:val="22"/>
        </w:rPr>
      </w:pPr>
    </w:p>
    <w:sectPr w:rsidR="00435EA5" w:rsidRPr="009A3665" w:rsidSect="009A366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C2" w:rsidRDefault="000539C2" w:rsidP="006303EA">
      <w:r>
        <w:separator/>
      </w:r>
    </w:p>
  </w:endnote>
  <w:endnote w:type="continuationSeparator" w:id="0">
    <w:p w:rsidR="000539C2" w:rsidRDefault="000539C2"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C2" w:rsidRDefault="000539C2" w:rsidP="006303EA">
      <w:r>
        <w:separator/>
      </w:r>
    </w:p>
  </w:footnote>
  <w:footnote w:type="continuationSeparator" w:id="0">
    <w:p w:rsidR="000539C2" w:rsidRDefault="000539C2" w:rsidP="0063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0539C2"/>
    <w:rsid w:val="000A7098"/>
    <w:rsid w:val="001731BA"/>
    <w:rsid w:val="00254C5A"/>
    <w:rsid w:val="00435EA5"/>
    <w:rsid w:val="004D7F6A"/>
    <w:rsid w:val="00530766"/>
    <w:rsid w:val="005773FD"/>
    <w:rsid w:val="005D0AA2"/>
    <w:rsid w:val="006303EA"/>
    <w:rsid w:val="006D4409"/>
    <w:rsid w:val="00721326"/>
    <w:rsid w:val="00753449"/>
    <w:rsid w:val="008739D3"/>
    <w:rsid w:val="00924A5D"/>
    <w:rsid w:val="009A3665"/>
    <w:rsid w:val="00B32CC1"/>
    <w:rsid w:val="00B45670"/>
    <w:rsid w:val="00B81694"/>
    <w:rsid w:val="00C30437"/>
    <w:rsid w:val="00C53098"/>
    <w:rsid w:val="00CC2EFC"/>
    <w:rsid w:val="00D755F5"/>
    <w:rsid w:val="00D756E5"/>
    <w:rsid w:val="00F04EC5"/>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54102">
      <w:bodyDiv w:val="1"/>
      <w:marLeft w:val="0"/>
      <w:marRight w:val="0"/>
      <w:marTop w:val="0"/>
      <w:marBottom w:val="0"/>
      <w:divBdr>
        <w:top w:val="none" w:sz="0" w:space="0" w:color="auto"/>
        <w:left w:val="none" w:sz="0" w:space="0" w:color="auto"/>
        <w:bottom w:val="none" w:sz="0" w:space="0" w:color="auto"/>
        <w:right w:val="none" w:sz="0" w:space="0" w:color="auto"/>
      </w:divBdr>
    </w:div>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6D28E-BC3C-4B5A-83A1-E4198099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8</cp:revision>
  <dcterms:created xsi:type="dcterms:W3CDTF">2015-06-18T23:21:00Z</dcterms:created>
  <dcterms:modified xsi:type="dcterms:W3CDTF">2015-06-23T01:46:00Z</dcterms:modified>
</cp:coreProperties>
</file>